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PERRY JAMESON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1515 Stanley Drive #62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Hometown, KS 66202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perry.jameson@dbplanet.com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(913) 555-1938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RESUME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Outstanding student with experience in print and online journalism seeks opportunity to learn by doing while working with a communications, public relations, or publishing firm through a part-time job or summer internship.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Completed three years at Hometown High School.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Graduation date: May 2013.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G.P.A. 3.85. Top 5% of class.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Newspaper Staff Member, Hometown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2012 - present.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Features editor of campus newspaper, responsible for award-winning design.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2009 - Aug 2012.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Researched information for news articles using library and Web sources. Composed and edited informational articles, columns, editorials, and advertising copy.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Yearbook Committee Member, Hometown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2012 - present.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Editor-in-chief of yearbook staff. Leader of design and publication teams from initial layout through finished product.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2009 - Aug 2012.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Yearbook staff member. Experience taking photographs, designing layout, and writing captions and sidebars.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RELEVANT HIGH SCHOOL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Technical writing; advanced composition; debate; video production; computer classes providing knowledge of word processing, desktop publishing, and Web software.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HONORS, AWARDS, AND 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U.S. Media Association Scholarship recipient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2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Scholarship based on academic achievement, community service, and campus participation and leadership in high school communications projects and studies.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2011 Best High School Newspaper Design winner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2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Central State Regional Communications Contest, sponsored by the Communications Department, State University.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President of high school chapter of Future Communicators of America (FCA), 2011 -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72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Member, 2010 - present.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Treasurer of National Honor Society, 2011 - present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