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400"/>
      </w:tblPr>
      <w:tblGrid>
        <w:gridCol w:w="6626"/>
        <w:gridCol w:w="2945"/>
        <w:tblGridChange w:id="0">
          <w:tblGrid>
            <w:gridCol w:w="6626"/>
            <w:gridCol w:w="2945"/>
          </w:tblGrid>
        </w:tblGridChange>
      </w:tblGrid>
      <w:tr>
        <w:trPr>
          <w:trHeight w:val="86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974706"/>
                <w:sz w:val="64"/>
                <w:szCs w:val="6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74706"/>
                <w:sz w:val="64"/>
                <w:szCs w:val="64"/>
                <w:rtl w:val="0"/>
              </w:rPr>
              <w:t xml:space="preserve">BALANCE SHEET</w:t>
            </w:r>
          </w:p>
        </w:tc>
      </w:tr>
      <w:tr>
        <w:trPr>
          <w:trHeight w:val="76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974706"/>
                <w:sz w:val="64"/>
                <w:szCs w:val="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4"/>
                <w:szCs w:val="24"/>
                <w:rtl w:val="0"/>
              </w:rPr>
              <w:t xml:space="preserve">[Carolina Construction Company]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[Street # 5, phase-2, North Carolina, 058157]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97470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ASSETS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Cash in Bank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$57,000.00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Accounts Payable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$30,000.00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Accounts Payable - Retention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$7,999.00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Allowance for Bad Debts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$599.00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Inventory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Prepaid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$2,001.00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$97,604.00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Non-Current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Construction Equipment’s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$40,000.00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Trucks and Automobiles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$32,000.00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Office Equipment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$8,599.00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Non-Current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$80,599.00</w:t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Assets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$178,203.00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5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6359"/>
        <w:gridCol w:w="3134"/>
        <w:tblGridChange w:id="0">
          <w:tblGrid>
            <w:gridCol w:w="6359"/>
            <w:gridCol w:w="3134"/>
          </w:tblGrid>
        </w:tblGridChange>
      </w:tblGrid>
      <w:tr>
        <w:trPr>
          <w:trHeight w:val="560" w:hRule="atLeast"/>
        </w:trPr>
        <w:tc>
          <w:tcPr>
            <w:gridSpan w:val="2"/>
            <w:shd w:fill="97470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LIABILITIES AND NET WORTH</w:t>
            </w:r>
          </w:p>
        </w:tc>
      </w:tr>
      <w:tr>
        <w:trPr>
          <w:trHeight w:val="560" w:hRule="atLeast"/>
        </w:trPr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Current Liabilities</w:t>
            </w:r>
          </w:p>
        </w:tc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Accounts Payable - Trade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$45,500.00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Accounts Payable - Retention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$32,500.00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Billing in Expenses of Costs and Profits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$74,500.00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Notes Payable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Accrued Taxes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$6,000.00</w:t>
            </w:r>
          </w:p>
        </w:tc>
      </w:tr>
      <w:tr>
        <w:trPr>
          <w:trHeight w:val="5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Current Liabilities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$159,900.00</w:t>
            </w:r>
          </w:p>
        </w:tc>
      </w:tr>
      <w:tr>
        <w:trPr>
          <w:trHeight w:val="5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Long Term Liabilities</w:t>
            </w:r>
          </w:p>
        </w:tc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Mortgage Payable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$40,599.00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Short term Portion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$32,035.00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Note Payable Auto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$8,799.00</w:t>
            </w:r>
          </w:p>
        </w:tc>
      </w:tr>
      <w:tr>
        <w:trPr>
          <w:trHeight w:val="5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Long Term Liabilities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$81,433.00</w:t>
            </w:r>
          </w:p>
        </w:tc>
      </w:tr>
      <w:tr>
        <w:trPr>
          <w:trHeight w:val="560" w:hRule="atLeast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Owners’ Equity(Net worth)</w:t>
            </w:r>
          </w:p>
        </w:tc>
        <w:tc>
          <w:tcPr>
            <w:shd w:fill="fde9d9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Capital Stock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$16,500.00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Retained Earnings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$50,000.00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Current Period Net income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$40,599.00</w:t>
            </w:r>
          </w:p>
        </w:tc>
      </w:tr>
      <w:tr>
        <w:trPr>
          <w:trHeight w:val="5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Owners Equity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$107,099.00</w:t>
            </w:r>
          </w:p>
        </w:tc>
      </w:tr>
      <w:tr>
        <w:trPr>
          <w:trHeight w:val="56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Liabilities and Equity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$348,432.00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Lato" w:cs="Lato" w:eastAsia="Lato" w:hAnsi="Lato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990"/>
        <w:rPr>
          <w:rFonts w:ascii="Lato" w:cs="Lato" w:eastAsia="Lato" w:hAnsi="Lato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shd w:fill="974706" w:val="clear"/>
        </w:rPr>
        <w:drawing>
          <wp:inline distB="0" distT="0" distL="0" distR="0">
            <wp:extent cx="4572000" cy="286468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6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-330199</wp:posOffset>
                </wp:positionV>
                <wp:extent cx="2258739" cy="34585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1393" y="3611835"/>
                          <a:ext cx="2249214" cy="33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SemiBold" w:cs="Open Sans SemiBold" w:eastAsia="Open Sans SemiBold" w:hAnsi="Open Sans SemiBol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BALANCE SHEET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-330199</wp:posOffset>
                </wp:positionV>
                <wp:extent cx="2258739" cy="34585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8739" cy="3458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