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63500</wp:posOffset>
                </wp:positionV>
                <wp:extent cx="1304925" cy="1304925"/>
                <wp:effectExtent b="0" l="0" r="0" t="0"/>
                <wp:wrapNone/>
                <wp:docPr id="3" name=""/>
                <a:graphic>
                  <a:graphicData uri="http://schemas.microsoft.com/office/word/2010/wordprocessingGroup">
                    <wpg:wgp>
                      <wpg:cNvGrpSpPr/>
                      <wpg:grpSpPr>
                        <a:xfrm>
                          <a:off x="4693538" y="3127538"/>
                          <a:ext cx="1304925" cy="1304925"/>
                          <a:chOff x="4693538" y="3127538"/>
                          <a:chExt cx="1304925" cy="1304925"/>
                        </a:xfrm>
                      </wpg:grpSpPr>
                      <wpg:grpSp>
                        <wpg:cNvGrpSpPr/>
                        <wpg:grpSpPr>
                          <a:xfrm>
                            <a:off x="4693538" y="3127538"/>
                            <a:ext cx="1304925" cy="1304925"/>
                            <a:chOff x="0" y="0"/>
                            <a:chExt cx="1304925" cy="1304925"/>
                          </a:xfrm>
                        </wpg:grpSpPr>
                        <wps:wsp>
                          <wps:cNvSpPr/>
                          <wps:cNvPr id="4" name="Shape 4"/>
                          <wps:spPr>
                            <a:xfrm>
                              <a:off x="0" y="0"/>
                              <a:ext cx="1304925" cy="1304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1304925" cy="1304925"/>
                            </a:xfrm>
                            <a:prstGeom prst="ellipse">
                              <a:avLst/>
                            </a:prstGeom>
                            <a:solidFill>
                              <a:srgbClr val="0000CC"/>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76225" y="57150"/>
                              <a:ext cx="752475" cy="11811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t xml:space="preserve">2019</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63500</wp:posOffset>
                </wp:positionV>
                <wp:extent cx="1304925" cy="13049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04925" cy="1304925"/>
                        </a:xfrm>
                        <a:prstGeom prst="rect"/>
                        <a:ln/>
                      </pic:spPr>
                    </pic:pic>
                  </a:graphicData>
                </a:graphic>
              </wp:anchor>
            </w:drawing>
          </mc:Fallback>
        </mc:AlternateContent>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0B">
      <w:pPr>
        <w:spacing w:line="240" w:lineRule="auto"/>
        <w:ind w:left="3154" w:hanging="3.9999999999997726"/>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HOLDING </w:t>
      </w:r>
    </w:p>
    <w:p w:rsidR="00000000" w:rsidDel="00000000" w:rsidP="00000000" w:rsidRDefault="00000000" w:rsidRPr="00000000" w14:paraId="0000000C">
      <w:pPr>
        <w:spacing w:line="240" w:lineRule="auto"/>
        <w:ind w:left="3154" w:hanging="3.9999999999997726"/>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COMPANY </w:t>
      </w:r>
    </w:p>
    <w:p w:rsidR="00000000" w:rsidDel="00000000" w:rsidP="00000000" w:rsidRDefault="00000000" w:rsidRPr="00000000" w14:paraId="0000000D">
      <w:pPr>
        <w:spacing w:line="240" w:lineRule="auto"/>
        <w:ind w:left="3154" w:hanging="3.9999999999997726"/>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BUSINESS PLAN</w:t>
      </w:r>
    </w:p>
    <w:p w:rsidR="00000000" w:rsidDel="00000000" w:rsidP="00000000" w:rsidRDefault="00000000" w:rsidRPr="00000000" w14:paraId="0000000E">
      <w:pPr>
        <w:ind w:left="31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31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31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3150" w:firstLine="0"/>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38100</wp:posOffset>
                </wp:positionV>
                <wp:extent cx="1219200" cy="38100"/>
                <wp:effectExtent b="0" l="0" r="0" t="0"/>
                <wp:wrapNone/>
                <wp:docPr id="4" name=""/>
                <a:graphic>
                  <a:graphicData uri="http://schemas.microsoft.com/office/word/2010/wordprocessingShape">
                    <wps:wsp>
                      <wps:cNvCnPr/>
                      <wps:spPr>
                        <a:xfrm>
                          <a:off x="4736400" y="3780000"/>
                          <a:ext cx="1219200" cy="0"/>
                        </a:xfrm>
                        <a:prstGeom prst="straightConnector1">
                          <a:avLst/>
                        </a:prstGeom>
                        <a:noFill/>
                        <a:ln cap="flat" cmpd="sng" w="38100">
                          <a:solidFill>
                            <a:srgbClr val="0000C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38100</wp:posOffset>
                </wp:positionV>
                <wp:extent cx="1219200" cy="38100"/>
                <wp:effectExtent b="0" l="0" r="0" t="0"/>
                <wp:wrapNone/>
                <wp:docPr id="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219200" cy="38100"/>
                        </a:xfrm>
                        <a:prstGeom prst="rect"/>
                        <a:ln/>
                      </pic:spPr>
                    </pic:pic>
                  </a:graphicData>
                </a:graphic>
              </wp:anchor>
            </w:drawing>
          </mc:Fallback>
        </mc:AlternateContent>
      </w:r>
    </w:p>
    <w:p w:rsidR="00000000" w:rsidDel="00000000" w:rsidP="00000000" w:rsidRDefault="00000000" w:rsidRPr="00000000" w14:paraId="00000012">
      <w:pPr>
        <w:ind w:left="31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31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31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3150" w:firstLine="0"/>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[Tri Holdings Inc. ]</w:t>
      </w:r>
      <w:r w:rsidDel="00000000" w:rsidR="00000000" w:rsidRPr="00000000">
        <w:rPr>
          <w:rtl w:val="0"/>
        </w:rPr>
      </w:r>
    </w:p>
    <w:p w:rsidR="00000000" w:rsidDel="00000000" w:rsidP="00000000" w:rsidRDefault="00000000" w:rsidRPr="00000000" w14:paraId="00000016">
      <w:pPr>
        <w:ind w:left="3150" w:firstLine="0"/>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[Business Plan For Fiscal Year 2019]</w:t>
      </w:r>
      <w:r w:rsidDel="00000000" w:rsidR="00000000" w:rsidRPr="00000000">
        <w:rPr>
          <w:rtl w:val="0"/>
        </w:rPr>
      </w:r>
    </w:p>
    <w:p w:rsidR="00000000" w:rsidDel="00000000" w:rsidP="00000000" w:rsidRDefault="00000000" w:rsidRPr="00000000" w14:paraId="00000017">
      <w:pPr>
        <w:ind w:left="3150" w:firstLine="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[June 25, 2019]</w:t>
      </w:r>
    </w:p>
    <w:p w:rsidR="00000000" w:rsidDel="00000000" w:rsidP="00000000" w:rsidRDefault="00000000" w:rsidRPr="00000000" w14:paraId="00000018">
      <w:pPr>
        <w:ind w:left="3150" w:firstLine="0"/>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19">
      <w:pPr>
        <w:ind w:left="315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[Charlie Bland]</w:t>
      </w:r>
    </w:p>
    <w:p w:rsidR="00000000" w:rsidDel="00000000" w:rsidP="00000000" w:rsidRDefault="00000000" w:rsidRPr="00000000" w14:paraId="0000001A">
      <w:pPr>
        <w:ind w:left="315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[charliebland@gmail.com]</w:t>
      </w:r>
    </w:p>
    <w:p w:rsidR="00000000" w:rsidDel="00000000" w:rsidP="00000000" w:rsidRDefault="00000000" w:rsidRPr="00000000" w14:paraId="0000001B">
      <w:pPr>
        <w:ind w:left="315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[910-577-8925]</w:t>
      </w:r>
    </w:p>
    <w:p w:rsidR="00000000" w:rsidDel="00000000" w:rsidP="00000000" w:rsidRDefault="00000000" w:rsidRPr="00000000" w14:paraId="0000001C">
      <w:pPr>
        <w:ind w:left="315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[wwwcharliebland.com]</w:t>
      </w:r>
    </w:p>
    <w:p w:rsidR="00000000" w:rsidDel="00000000" w:rsidP="00000000" w:rsidRDefault="00000000" w:rsidRPr="00000000" w14:paraId="0000001D">
      <w:pPr>
        <w:ind w:left="315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[1858 Mesa Drive</w:t>
      </w:r>
    </w:p>
    <w:p w:rsidR="00000000" w:rsidDel="00000000" w:rsidP="00000000" w:rsidRDefault="00000000" w:rsidRPr="00000000" w14:paraId="0000001E">
      <w:pPr>
        <w:ind w:left="315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Las Vegas, Nevada 89101, USA]</w:t>
      </w:r>
    </w:p>
    <w:p w:rsidR="00000000" w:rsidDel="00000000" w:rsidP="00000000" w:rsidRDefault="00000000" w:rsidRPr="00000000" w14:paraId="0000001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75"/>
        <w:gridCol w:w="2542"/>
        <w:tblGridChange w:id="0">
          <w:tblGrid>
            <w:gridCol w:w="6475"/>
            <w:gridCol w:w="2542"/>
          </w:tblGrid>
        </w:tblGridChange>
      </w:tblGrid>
      <w:tr>
        <w:trPr>
          <w:trHeight w:val="560" w:hRule="atLeast"/>
        </w:trPr>
        <w:tc>
          <w:tcPr>
            <w:vAlign w:val="center"/>
          </w:tcPr>
          <w:p w:rsidR="00000000" w:rsidDel="00000000" w:rsidP="00000000" w:rsidRDefault="00000000" w:rsidRPr="00000000" w14:paraId="0000002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7">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9">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2B">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2D">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E">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F">
            <w:pPr>
              <w:jc w:val="right"/>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0">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is a holding company which invests in real estate-related businesses. It is a parent corporation to three subsidiaries: first is the real estate company, </w:t>
      </w:r>
      <w:r w:rsidDel="00000000" w:rsidR="00000000" w:rsidRPr="00000000">
        <w:rPr>
          <w:rFonts w:ascii="Calibri" w:cs="Calibri" w:eastAsia="Calibri" w:hAnsi="Calibri"/>
          <w:color w:val="111111"/>
          <w:highlight w:val="yellow"/>
          <w:rtl w:val="0"/>
        </w:rPr>
        <w:t xml:space="preserve">[Hurricane Inc.]</w:t>
      </w:r>
      <w:r w:rsidDel="00000000" w:rsidR="00000000" w:rsidRPr="00000000">
        <w:rPr>
          <w:rFonts w:ascii="Calibri" w:cs="Calibri" w:eastAsia="Calibri" w:hAnsi="Calibri"/>
          <w:color w:val="111111"/>
          <w:rtl w:val="0"/>
        </w:rPr>
        <w:t xml:space="preserve">, second is the construction company, </w:t>
      </w:r>
      <w:r w:rsidDel="00000000" w:rsidR="00000000" w:rsidRPr="00000000">
        <w:rPr>
          <w:rFonts w:ascii="Calibri" w:cs="Calibri" w:eastAsia="Calibri" w:hAnsi="Calibri"/>
          <w:color w:val="111111"/>
          <w:highlight w:val="yellow"/>
          <w:rtl w:val="0"/>
        </w:rPr>
        <w:t xml:space="preserve">[Red Corp.]</w:t>
      </w:r>
      <w:r w:rsidDel="00000000" w:rsidR="00000000" w:rsidRPr="00000000">
        <w:rPr>
          <w:rFonts w:ascii="Calibri" w:cs="Calibri" w:eastAsia="Calibri" w:hAnsi="Calibri"/>
          <w:color w:val="111111"/>
          <w:rtl w:val="0"/>
        </w:rPr>
        <w:t xml:space="preserve">, and lastly, the rental company, </w:t>
      </w:r>
      <w:r w:rsidDel="00000000" w:rsidR="00000000" w:rsidRPr="00000000">
        <w:rPr>
          <w:rFonts w:ascii="Calibri" w:cs="Calibri" w:eastAsia="Calibri" w:hAnsi="Calibri"/>
          <w:color w:val="111111"/>
          <w:highlight w:val="yellow"/>
          <w:rtl w:val="0"/>
        </w:rPr>
        <w:t xml:space="preserve">[Happystones Inc.</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be utilizing its automated marketing system and social media for its marketing strategies. It also aims to invest in a fourth subsidiary company and has started this goal by making a list of real estate-related businesses in the state of Nevada whose stocks are open for acquisition.</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mission of </w:t>
      </w: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is to invest in real estate, construction, and rental businesses that bring real benefits to the state of Nevada and its people. </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will always focus on the people. It strives for the empowerment of the people, pursuit of excellence, enhancement of the quality of life, and responsibility to the community. The company, being centered on this philosophy, will work as an effective member of the industry.</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is the leading property development company in the state of Nevada. Through its investments, the company aims to deliver exceptional shareholder value, cultivate progress in remote areas, and integrate sustainable development with superior business results.</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state of Nevada is listed as one of the ten states predicted to have a strong real estate market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The company plans to contribute to strengthening the market by investing in real estate-related businesses. Investing in these businesses would result in the continued growth of the industry and, in turn, would result in the increase of company sales and market share.</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Industry</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Real Estate</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Construction</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Rental</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Corporation</w:t>
      </w:r>
    </w:p>
    <w:p w:rsidR="00000000" w:rsidDel="00000000" w:rsidP="00000000" w:rsidRDefault="00000000" w:rsidRPr="00000000" w14:paraId="0000006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Corporation</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75"/>
        <w:tblGridChange w:id="0">
          <w:tblGrid>
            <w:gridCol w:w="4680"/>
            <w:gridCol w:w="46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Voting Shares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Non-voting Shares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rPr>
                <w:rFonts w:ascii="Calibri" w:cs="Calibri" w:eastAsia="Calibri" w:hAnsi="Calibri"/>
                <w:color w:val="111111"/>
              </w:rPr>
            </w:pPr>
            <w:r w:rsidDel="00000000" w:rsidR="00000000" w:rsidRPr="00000000">
              <w:rPr>
                <w:rFonts w:ascii="Calibri" w:cs="Calibri" w:eastAsia="Calibri" w:hAnsi="Calibri"/>
                <w:color w:val="111111"/>
                <w:rtl w:val="0"/>
              </w:rPr>
              <w:t xml:space="preserve">Jan Presley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Danielle Talbot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rPr>
                <w:rFonts w:ascii="Calibri" w:cs="Calibri" w:eastAsia="Calibri" w:hAnsi="Calibri"/>
                <w:color w:val="111111"/>
              </w:rPr>
            </w:pPr>
            <w:r w:rsidDel="00000000" w:rsidR="00000000" w:rsidRPr="00000000">
              <w:rPr>
                <w:rFonts w:ascii="Calibri" w:cs="Calibri" w:eastAsia="Calibri" w:hAnsi="Calibri"/>
                <w:color w:val="111111"/>
                <w:rtl w:val="0"/>
              </w:rPr>
              <w:t xml:space="preserve">Brian Aikens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Jennifer Cooksey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0">
            <w:pPr>
              <w:rPr>
                <w:rFonts w:ascii="Calibri" w:cs="Calibri" w:eastAsia="Calibri" w:hAnsi="Calibri"/>
                <w:color w:val="111111"/>
              </w:rPr>
            </w:pPr>
            <w:r w:rsidDel="00000000" w:rsidR="00000000" w:rsidRPr="00000000">
              <w:rPr>
                <w:rFonts w:ascii="Calibri" w:cs="Calibri" w:eastAsia="Calibri" w:hAnsi="Calibri"/>
                <w:color w:val="111111"/>
                <w:rtl w:val="0"/>
              </w:rPr>
              <w:t xml:space="preserve">Clair Baehr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Amy Perez</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Kendall Hicks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Jean Forrest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Joseph Williams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Betty Kirk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Subsidiaries:</w:t>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[Hurricane Inc.]</w:t>
      </w:r>
      <w:r w:rsidDel="00000000" w:rsidR="00000000" w:rsidRPr="00000000">
        <w:rPr>
          <w:rFonts w:ascii="Calibri" w:cs="Calibri" w:eastAsia="Calibri" w:hAnsi="Calibri"/>
          <w:color w:val="111111"/>
          <w:rtl w:val="0"/>
        </w:rPr>
        <w:t xml:space="preserve"> (Real Estate Company)</w:t>
        <w:tab/>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ownership</w:t>
      </w:r>
    </w:p>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[Red Corp.]</w:t>
      </w:r>
      <w:r w:rsidDel="00000000" w:rsidR="00000000" w:rsidRPr="00000000">
        <w:rPr>
          <w:rFonts w:ascii="Calibri" w:cs="Calibri" w:eastAsia="Calibri" w:hAnsi="Calibri"/>
          <w:color w:val="111111"/>
          <w:rtl w:val="0"/>
        </w:rPr>
        <w:t xml:space="preserve"> (Construction Company)</w:t>
        <w:tab/>
      </w:r>
      <w:r w:rsidDel="00000000" w:rsidR="00000000" w:rsidRPr="00000000">
        <w:rPr>
          <w:rFonts w:ascii="Calibri" w:cs="Calibri" w:eastAsia="Calibri" w:hAnsi="Calibri"/>
          <w:color w:val="111111"/>
          <w:highlight w:val="yellow"/>
          <w:rtl w:val="0"/>
        </w:rPr>
        <w:t xml:space="preserve">[58]</w:t>
      </w:r>
      <w:r w:rsidDel="00000000" w:rsidR="00000000" w:rsidRPr="00000000">
        <w:rPr>
          <w:rFonts w:ascii="Calibri" w:cs="Calibri" w:eastAsia="Calibri" w:hAnsi="Calibri"/>
          <w:color w:val="111111"/>
          <w:rtl w:val="0"/>
        </w:rPr>
        <w:t xml:space="preserve">% ownership</w:t>
      </w:r>
    </w:p>
    <w:p w:rsidR="00000000" w:rsidDel="00000000" w:rsidP="00000000" w:rsidRDefault="00000000" w:rsidRPr="00000000" w14:paraId="0000007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[Happystones Inc.]</w:t>
      </w:r>
      <w:r w:rsidDel="00000000" w:rsidR="00000000" w:rsidRPr="00000000">
        <w:rPr>
          <w:rFonts w:ascii="Calibri" w:cs="Calibri" w:eastAsia="Calibri" w:hAnsi="Calibri"/>
          <w:color w:val="111111"/>
          <w:rtl w:val="0"/>
        </w:rPr>
        <w:t xml:space="preserve"> (Rental Company)</w:t>
        <w:tab/>
      </w:r>
      <w:r w:rsidDel="00000000" w:rsidR="00000000" w:rsidRPr="00000000">
        <w:rPr>
          <w:rFonts w:ascii="Calibri" w:cs="Calibri" w:eastAsia="Calibri" w:hAnsi="Calibri"/>
          <w:color w:val="111111"/>
          <w:highlight w:val="yellow"/>
          <w:rtl w:val="0"/>
        </w:rPr>
        <w:t xml:space="preserve">[55]</w:t>
      </w:r>
      <w:r w:rsidDel="00000000" w:rsidR="00000000" w:rsidRPr="00000000">
        <w:rPr>
          <w:rFonts w:ascii="Calibri" w:cs="Calibri" w:eastAsia="Calibri" w:hAnsi="Calibri"/>
          <w:color w:val="111111"/>
          <w:rtl w:val="0"/>
        </w:rPr>
        <w:t xml:space="preserve">% ownership</w:t>
      </w:r>
    </w:p>
    <w:p w:rsidR="00000000" w:rsidDel="00000000" w:rsidP="00000000" w:rsidRDefault="00000000" w:rsidRPr="00000000" w14:paraId="000000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[2M]</w:t>
      </w:r>
      <w:r w:rsidDel="00000000" w:rsidR="00000000" w:rsidRPr="00000000">
        <w:rPr>
          <w:rFonts w:ascii="Calibri" w:cs="Calibri" w:eastAsia="Calibri" w:hAnsi="Calibri"/>
          <w:color w:val="111111"/>
          <w:rtl w:val="0"/>
        </w:rPr>
        <w:t xml:space="preserve"> USD to be provided by the shareholders from their shares in the company before the incorporation. The start-up cost will be used for acquisitions, legal fees, insurance, research and development, and payroll.</w:t>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tl w:val="0"/>
        </w:rPr>
      </w:r>
    </w:p>
    <w:tbl>
      <w:tblPr>
        <w:tblStyle w:val="Table3"/>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900"/>
        <w:gridCol w:w="2455"/>
        <w:tblGridChange w:id="0">
          <w:tblGrid>
            <w:gridCol w:w="6900"/>
            <w:gridCol w:w="245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b w:val="1"/>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b w:val="1"/>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Shareholders (Common shares)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Shareholders (Preferred shares)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5"/>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Land and Building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Design</w:t>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 and Development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left="45"/>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$2,000,000.00</w:t>
            </w:r>
            <w:r w:rsidDel="00000000" w:rsidR="00000000" w:rsidRPr="00000000">
              <w:rPr>
                <w:rtl w:val="0"/>
              </w:rPr>
            </w:r>
          </w:p>
        </w:tc>
      </w:tr>
    </w:tbl>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430"/>
        <w:gridCol w:w="4595"/>
        <w:tblGridChange w:id="0">
          <w:tblGrid>
            <w:gridCol w:w="2340"/>
            <w:gridCol w:w="2430"/>
            <w:gridCol w:w="45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Danielle Talbot</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Executive Officer</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Collaboration, decision-making, and time management skills</w:t>
            </w:r>
          </w:p>
        </w:tc>
      </w:tr>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Jennifer Cooksey</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Financial Officer</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accounting, and corporate finance, and leadership skills</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Amy Perez</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Officer</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customer service, and research skills</w:t>
            </w:r>
          </w:p>
        </w:tc>
      </w:tr>
    </w:tbl>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40"/>
        <w:gridCol w:w="5225"/>
        <w:tblGridChange w:id="0">
          <w:tblGrid>
            <w:gridCol w:w="4140"/>
            <w:gridCol w:w="52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 more than [70]% of the shares in the subsidiary companies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shareholders have already acquired full ownership of [Hurricane Inc.], [58]% ownership of [Red Corp.], and [55]% ownership of [Happystones Inc.]</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council of company presidents</w:t>
            </w:r>
          </w:p>
        </w:tc>
        <w:tc>
          <w:tcPr>
            <w:shd w:fill="auto" w:val="clear"/>
            <w:tcMar>
              <w:top w:w="100.0" w:type="dxa"/>
              <w:left w:w="100.0" w:type="dxa"/>
              <w:bottom w:w="100.0" w:type="dxa"/>
              <w:right w:w="100.0" w:type="dxa"/>
            </w:tcMar>
          </w:tcPr>
          <w:p w:rsidR="00000000" w:rsidDel="00000000" w:rsidP="00000000" w:rsidRDefault="00000000" w:rsidRPr="00000000" w14:paraId="000000ED">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already scheduled a meeting with the Board of Directors of each company with the following schedules:</w:t>
            </w:r>
          </w:p>
          <w:p w:rsidR="00000000" w:rsidDel="00000000" w:rsidP="00000000" w:rsidRDefault="00000000" w:rsidRPr="00000000" w14:paraId="000000EE">
            <w:pPr>
              <w:rPr>
                <w:rFonts w:ascii="Calibri" w:cs="Calibri" w:eastAsia="Calibri" w:hAnsi="Calibri"/>
                <w:color w:val="111111"/>
              </w:rPr>
            </w:pPr>
            <w:r w:rsidDel="00000000" w:rsidR="00000000" w:rsidRPr="00000000">
              <w:rPr>
                <w:rFonts w:ascii="Calibri" w:cs="Calibri" w:eastAsia="Calibri" w:hAnsi="Calibri"/>
                <w:color w:val="111111"/>
                <w:rtl w:val="0"/>
              </w:rPr>
              <w:t xml:space="preserve">[Hurricane Inc.] – [March 1, 2019]</w:t>
            </w:r>
          </w:p>
          <w:p w:rsidR="00000000" w:rsidDel="00000000" w:rsidP="00000000" w:rsidRDefault="00000000" w:rsidRPr="00000000" w14:paraId="000000EF">
            <w:pPr>
              <w:rPr>
                <w:rFonts w:ascii="Calibri" w:cs="Calibri" w:eastAsia="Calibri" w:hAnsi="Calibri"/>
                <w:color w:val="111111"/>
              </w:rPr>
            </w:pPr>
            <w:r w:rsidDel="00000000" w:rsidR="00000000" w:rsidRPr="00000000">
              <w:rPr>
                <w:rFonts w:ascii="Calibri" w:cs="Calibri" w:eastAsia="Calibri" w:hAnsi="Calibri"/>
                <w:color w:val="111111"/>
                <w:rtl w:val="0"/>
              </w:rPr>
              <w:t xml:space="preserve">[Red Corp.] – [March 15, 2019]</w:t>
            </w:r>
          </w:p>
          <w:p w:rsidR="00000000" w:rsidDel="00000000" w:rsidP="00000000" w:rsidRDefault="00000000" w:rsidRPr="00000000" w14:paraId="000000F0">
            <w:pPr>
              <w:rPr>
                <w:rFonts w:ascii="Calibri" w:cs="Calibri" w:eastAsia="Calibri" w:hAnsi="Calibri"/>
                <w:color w:val="111111"/>
              </w:rPr>
            </w:pPr>
            <w:r w:rsidDel="00000000" w:rsidR="00000000" w:rsidRPr="00000000">
              <w:rPr>
                <w:rFonts w:ascii="Calibri" w:cs="Calibri" w:eastAsia="Calibri" w:hAnsi="Calibri"/>
                <w:color w:val="111111"/>
                <w:rtl w:val="0"/>
              </w:rPr>
              <w:t xml:space="preserve">[Happystones Inc]. – [March 31,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available capital stock of the company from [40,000] shares to [100,000] shares in [15] years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already preparing a plan to open its stocks to the public [7] years after the start of the business operations.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Invest in a fourth subsidiary company</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given a directive to make a list of real estate-related businesses whose stocks are open for acquisition.</w:t>
            </w:r>
          </w:p>
        </w:tc>
      </w:tr>
    </w:tbl>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FA">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being a holding company, does not have any operations or active business itself. It instead owns assets in the three subsidiary companies. The business of the three subsidiary companies is all real-estate related businesses. </w:t>
      </w:r>
      <w:r w:rsidDel="00000000" w:rsidR="00000000" w:rsidRPr="00000000">
        <w:rPr>
          <w:rFonts w:ascii="Calibri" w:cs="Calibri" w:eastAsia="Calibri" w:hAnsi="Calibri"/>
          <w:color w:val="111111"/>
          <w:highlight w:val="yellow"/>
          <w:rtl w:val="0"/>
        </w:rPr>
        <w:t xml:space="preserve">[Hurricane Inc.]</w:t>
      </w:r>
      <w:r w:rsidDel="00000000" w:rsidR="00000000" w:rsidRPr="00000000">
        <w:rPr>
          <w:rFonts w:ascii="Calibri" w:cs="Calibri" w:eastAsia="Calibri" w:hAnsi="Calibri"/>
          <w:color w:val="111111"/>
          <w:rtl w:val="0"/>
        </w:rPr>
        <w:t xml:space="preserve"> is a real estate company engaging in the business of buying and selling real estate properties. Red Corp. is a construction company that is in the business of constructing real estate properties. Lastly, </w:t>
      </w:r>
      <w:r w:rsidDel="00000000" w:rsidR="00000000" w:rsidRPr="00000000">
        <w:rPr>
          <w:rFonts w:ascii="Calibri" w:cs="Calibri" w:eastAsia="Calibri" w:hAnsi="Calibri"/>
          <w:color w:val="111111"/>
          <w:highlight w:val="yellow"/>
          <w:rtl w:val="0"/>
        </w:rPr>
        <w:t xml:space="preserve">[Happystones Inc.]</w:t>
      </w:r>
      <w:r w:rsidDel="00000000" w:rsidR="00000000" w:rsidRPr="00000000">
        <w:rPr>
          <w:rFonts w:ascii="Calibri" w:cs="Calibri" w:eastAsia="Calibri" w:hAnsi="Calibri"/>
          <w:color w:val="111111"/>
          <w:rtl w:val="0"/>
        </w:rPr>
        <w:t xml:space="preserve"> is a rental company which rents commercial spaces. All companies are operated in the state of </w:t>
      </w:r>
      <w:r w:rsidDel="00000000" w:rsidR="00000000" w:rsidRPr="00000000">
        <w:rPr>
          <w:rFonts w:ascii="Calibri" w:cs="Calibri" w:eastAsia="Calibri" w:hAnsi="Calibri"/>
          <w:color w:val="111111"/>
          <w:highlight w:val="yellow"/>
          <w:rtl w:val="0"/>
        </w:rPr>
        <w:t xml:space="preserve">[Nevada]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Providing opportunities to clients for a better life. </w:t>
      </w: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invests in real estate-related businesses and its successful investment in growing companies is known to help the businesses improve their operations as well as the products and services they provide to their customers. </w:t>
      </w:r>
    </w:p>
    <w:p w:rsidR="00000000" w:rsidDel="00000000" w:rsidP="00000000" w:rsidRDefault="00000000" w:rsidRPr="00000000" w14:paraId="0000010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the company is a parent company and does not have its own operations, the pricing strategy covers the pricing strategy of its subsidiary companies. </w:t>
      </w:r>
      <w:r w:rsidDel="00000000" w:rsidR="00000000" w:rsidRPr="00000000">
        <w:rPr>
          <w:rFonts w:ascii="Calibri" w:cs="Calibri" w:eastAsia="Calibri" w:hAnsi="Calibri"/>
          <w:color w:val="111111"/>
          <w:highlight w:val="yellow"/>
          <w:rtl w:val="0"/>
        </w:rPr>
        <w:t xml:space="preserve">[Hurricane Inc.]</w:t>
      </w:r>
      <w:r w:rsidDel="00000000" w:rsidR="00000000" w:rsidRPr="00000000">
        <w:rPr>
          <w:rFonts w:ascii="Calibri" w:cs="Calibri" w:eastAsia="Calibri" w:hAnsi="Calibri"/>
          <w:color w:val="111111"/>
          <w:rtl w:val="0"/>
        </w:rPr>
        <w:t xml:space="preserve"> utilizes competitive pricing. </w:t>
      </w:r>
      <w:r w:rsidDel="00000000" w:rsidR="00000000" w:rsidRPr="00000000">
        <w:rPr>
          <w:rFonts w:ascii="Calibri" w:cs="Calibri" w:eastAsia="Calibri" w:hAnsi="Calibri"/>
          <w:color w:val="111111"/>
          <w:highlight w:val="yellow"/>
          <w:rtl w:val="0"/>
        </w:rPr>
        <w:t xml:space="preserve">[Red Corp.]</w:t>
      </w:r>
      <w:r w:rsidDel="00000000" w:rsidR="00000000" w:rsidRPr="00000000">
        <w:rPr>
          <w:rFonts w:ascii="Calibri" w:cs="Calibri" w:eastAsia="Calibri" w:hAnsi="Calibri"/>
          <w:color w:val="111111"/>
          <w:rtl w:val="0"/>
        </w:rPr>
        <w:t xml:space="preserve"> utilizes price bundling and competitive pricing. Lastly, </w:t>
      </w:r>
      <w:r w:rsidDel="00000000" w:rsidR="00000000" w:rsidRPr="00000000">
        <w:rPr>
          <w:rFonts w:ascii="Calibri" w:cs="Calibri" w:eastAsia="Calibri" w:hAnsi="Calibri"/>
          <w:color w:val="111111"/>
          <w:highlight w:val="yellow"/>
          <w:rtl w:val="0"/>
        </w:rPr>
        <w:t xml:space="preserve">[Happystones Inc.]</w:t>
      </w:r>
      <w:r w:rsidDel="00000000" w:rsidR="00000000" w:rsidRPr="00000000">
        <w:rPr>
          <w:rFonts w:ascii="Calibri" w:cs="Calibri" w:eastAsia="Calibri" w:hAnsi="Calibri"/>
          <w:color w:val="111111"/>
          <w:rtl w:val="0"/>
        </w:rPr>
        <w:t xml:space="preserve"> uses the price skimming strategy.</w:t>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aims to invest in more real estate-related businesses outside the state of </w:t>
      </w:r>
      <w:r w:rsidDel="00000000" w:rsidR="00000000" w:rsidRPr="00000000">
        <w:rPr>
          <w:rFonts w:ascii="Calibri" w:cs="Calibri" w:eastAsia="Calibri" w:hAnsi="Calibri"/>
          <w:color w:val="111111"/>
          <w:highlight w:val="yellow"/>
          <w:rtl w:val="0"/>
        </w:rPr>
        <w:t xml:space="preserve">[Nevada]</w:t>
      </w:r>
      <w:r w:rsidDel="00000000" w:rsidR="00000000" w:rsidRPr="00000000">
        <w:rPr>
          <w:rFonts w:ascii="Calibri" w:cs="Calibri" w:eastAsia="Calibri" w:hAnsi="Calibri"/>
          <w:color w:val="111111"/>
          <w:rtl w:val="0"/>
        </w:rPr>
        <w:t xml:space="preserve">. As a holding company, it gains profit by synergy and profit from the associated subsidiaries. The company’s marketing plan mainly focuses on which companies it holds and how to manage them.</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current trend in the real estate industry implies that there is more growth in the residential real estate sector. Its market share in the real estate industry has also increased.</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real estate business market share by sector where the company has made its investments.</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1009650</wp:posOffset>
            </wp:positionH>
            <wp:positionV relativeFrom="paragraph">
              <wp:posOffset>98425</wp:posOffset>
            </wp:positionV>
            <wp:extent cx="3543300" cy="206565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43300" cy="2065655"/>
                    </a:xfrm>
                    <a:prstGeom prst="rect"/>
                    <a:ln/>
                  </pic:spPr>
                </pic:pic>
              </a:graphicData>
            </a:graphic>
          </wp:anchor>
        </w:drawing>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0"/>
        <w:gridCol w:w="1980"/>
        <w:gridCol w:w="1800"/>
        <w:gridCol w:w="1980"/>
        <w:gridCol w:w="1895"/>
        <w:tblGridChange w:id="0">
          <w:tblGrid>
            <w:gridCol w:w="1710"/>
            <w:gridCol w:w="1980"/>
            <w:gridCol w:w="1800"/>
            <w:gridCol w:w="1980"/>
            <w:gridCol w:w="18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[Tri Holdings Inc.] </w:t>
            </w:r>
          </w:p>
        </w:tc>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strong presence in Nevada</w:t>
            </w:r>
          </w:p>
          <w:p w:rsidR="00000000" w:rsidDel="00000000" w:rsidP="00000000" w:rsidRDefault="00000000" w:rsidRPr="00000000" w14:paraId="000001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managerial independence to develop the business with three subsidiaries</w:t>
            </w:r>
          </w:p>
        </w:tc>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limited operations.</w:t>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demand for all real estate sectors, hence large opportunities to tap the market</w:t>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Destruction of real estate properties due to natural disaster</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[Holdingsize]</w:t>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innovative construction solutions</w:t>
            </w:r>
          </w:p>
          <w:p w:rsidR="00000000" w:rsidDel="00000000" w:rsidP="00000000" w:rsidRDefault="00000000" w:rsidRPr="00000000" w14:paraId="000001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diversified portfolio in real estate</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present on the western side of the US</w:t>
            </w:r>
          </w:p>
          <w:p w:rsidR="00000000" w:rsidDel="00000000" w:rsidP="00000000" w:rsidRDefault="00000000" w:rsidRPr="00000000" w14:paraId="000001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Quality control issues in construction</w:t>
            </w:r>
          </w:p>
        </w:tc>
        <w:tc>
          <w:tcPr>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in developing nations</w:t>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Expansion in emerging markets</w:t>
            </w:r>
          </w:p>
        </w:tc>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Fluctuating land price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[Beholdings]</w:t>
            </w:r>
          </w:p>
        </w:tc>
        <w:tc>
          <w:tcPr>
            <w:shd w:fill="auto" w:val="clear"/>
            <w:tcMar>
              <w:top w:w="100.0" w:type="dxa"/>
              <w:left w:w="100.0" w:type="dxa"/>
              <w:bottom w:w="100.0" w:type="dxa"/>
              <w:right w:w="100.0" w:type="dxa"/>
            </w:tcMar>
          </w:tcPr>
          <w:p w:rsidR="00000000" w:rsidDel="00000000" w:rsidP="00000000" w:rsidRDefault="00000000" w:rsidRPr="00000000" w14:paraId="000001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employed more than 500 employees</w:t>
            </w:r>
          </w:p>
          <w:p w:rsidR="00000000" w:rsidDel="00000000" w:rsidP="00000000" w:rsidRDefault="00000000" w:rsidRPr="00000000" w14:paraId="000001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operations in more than 5 states in the US</w:t>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limited operations across the US</w:t>
            </w:r>
          </w:p>
        </w:tc>
        <w:tc>
          <w:tcPr>
            <w:shd w:fill="auto" w:val="clear"/>
            <w:tcMar>
              <w:top w:w="100.0" w:type="dxa"/>
              <w:left w:w="100.0" w:type="dxa"/>
              <w:bottom w:w="100.0" w:type="dxa"/>
              <w:right w:w="100.0" w:type="dxa"/>
            </w:tcMar>
          </w:tcPr>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 increase geographical reach in the US</w:t>
            </w:r>
          </w:p>
        </w:tc>
        <w:tc>
          <w:tcPr>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Changes in regulation and taxation</w:t>
            </w:r>
          </w:p>
        </w:tc>
      </w:tr>
    </w:tbl>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plans on utilizing an ongoing automated marketing system to contact potential clients, utilize social media, and invest in more real estate-related businesses. The company currently has an automated marketing system but needs to be updated. On the other hand, the company has started to create social media accounts. Lastly, the company has given a directive to make a list of real estate-related businesses whose stocks are open for acquisition.</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kicked-off various activities to move the marketing strategy forward. Here are some of the updates:</w:t>
      </w:r>
    </w:p>
    <w:p w:rsidR="00000000" w:rsidDel="00000000" w:rsidP="00000000" w:rsidRDefault="00000000" w:rsidRPr="00000000" w14:paraId="0000013F">
      <w:pPr>
        <w:ind w:left="720"/>
        <w:jc w:val="both"/>
        <w:rPr>
          <w:rFonts w:ascii="Calibri" w:cs="Calibri" w:eastAsia="Calibri" w:hAnsi="Calibri"/>
          <w:color w:val="111111"/>
        </w:rPr>
      </w:pPr>
      <w:r w:rsidDel="00000000" w:rsidR="00000000" w:rsidRPr="00000000">
        <w:rPr>
          <w:rtl w:val="0"/>
        </w:rPr>
      </w:r>
    </w:p>
    <w:tbl>
      <w:tblPr>
        <w:tblStyle w:val="Table7"/>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525"/>
        <w:gridCol w:w="3135"/>
        <w:gridCol w:w="1440"/>
        <w:gridCol w:w="2265"/>
        <w:tblGridChange w:id="0">
          <w:tblGrid>
            <w:gridCol w:w="2525"/>
            <w:gridCol w:w="3135"/>
            <w:gridCol w:w="1440"/>
            <w:gridCol w:w="226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Utilize an ongoing automated marketing system</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department hired a new IT manager.</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 2019</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new IT manager will update the automated marketing system by the end of February 2019.</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Utilize social media</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department has started creating the following social media accounts: Facebook, Instagram, YouTube, and LinkedIn</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31, 2019</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the social media accounts are operational before the end of April 2019.</w:t>
            </w:r>
          </w:p>
        </w:tc>
      </w:tr>
    </w:tbl>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530364" cy="5400675"/>
                <wp:effectExtent b="0" l="0" r="0" t="0"/>
                <wp:docPr id="2" name=""/>
                <a:graphic>
                  <a:graphicData uri="http://schemas.microsoft.com/office/word/2010/wordprocessingGroup">
                    <wpg:wgp>
                      <wpg:cNvGrpSpPr/>
                      <wpg:grpSpPr>
                        <a:xfrm>
                          <a:off x="2580818" y="1079663"/>
                          <a:ext cx="5530364" cy="5400675"/>
                          <a:chOff x="2580818" y="1079663"/>
                          <a:chExt cx="5530364" cy="5400675"/>
                        </a:xfrm>
                      </wpg:grpSpPr>
                      <wpg:grpSp>
                        <wpg:cNvGrpSpPr/>
                        <wpg:grpSpPr>
                          <a:xfrm>
                            <a:off x="2580818" y="1079663"/>
                            <a:ext cx="5530364" cy="5400675"/>
                            <a:chOff x="449775" y="205350"/>
                            <a:chExt cx="5670900" cy="4422475"/>
                          </a:xfrm>
                        </wpg:grpSpPr>
                        <wps:wsp>
                          <wps:cNvSpPr/>
                          <wps:cNvPr id="4" name="Shape 4"/>
                          <wps:spPr>
                            <a:xfrm>
                              <a:off x="449775" y="205350"/>
                              <a:ext cx="5670900" cy="442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288175" y="2053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Shareholders</w:t>
                                </w:r>
                              </w:p>
                            </w:txbxContent>
                          </wps:txbx>
                          <wps:bodyPr anchorCtr="0" anchor="ctr" bIns="91425" lIns="91425" spcFirstLastPara="1" rIns="91425" wrap="square" tIns="91425">
                            <a:noAutofit/>
                          </wps:bodyPr>
                        </wps:wsp>
                        <wps:wsp>
                          <wps:cNvSpPr/>
                          <wps:cNvPr id="6" name="Shape 6"/>
                          <wps:spPr>
                            <a:xfrm>
                              <a:off x="2288175" y="7195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Board of Directors</w:t>
                                </w:r>
                              </w:p>
                            </w:txbxContent>
                          </wps:txbx>
                          <wps:bodyPr anchorCtr="0" anchor="ctr" bIns="91425" lIns="91425" spcFirstLastPara="1" rIns="91425" wrap="square" tIns="91425">
                            <a:noAutofit/>
                          </wps:bodyPr>
                        </wps:wsp>
                        <wps:wsp>
                          <wps:cNvSpPr/>
                          <wps:cNvPr id="7" name="Shape 7"/>
                          <wps:spPr>
                            <a:xfrm>
                              <a:off x="2288175" y="11848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President</w:t>
                                </w:r>
                              </w:p>
                            </w:txbxContent>
                          </wps:txbx>
                          <wps:bodyPr anchorCtr="0" anchor="ctr" bIns="91425" lIns="91425" spcFirstLastPara="1" rIns="91425" wrap="square" tIns="91425">
                            <a:noAutofit/>
                          </wps:bodyPr>
                        </wps:wsp>
                        <wps:wsp>
                          <wps:cNvSpPr/>
                          <wps:cNvPr id="8" name="Shape 8"/>
                          <wps:spPr>
                            <a:xfrm>
                              <a:off x="2288175" y="16501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SpPr/>
                          <wps:cNvPr id="9" name="Shape 9"/>
                          <wps:spPr>
                            <a:xfrm>
                              <a:off x="2288175" y="21154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CFO</w:t>
                                </w:r>
                              </w:p>
                            </w:txbxContent>
                          </wps:txbx>
                          <wps:bodyPr anchorCtr="0" anchor="ctr" bIns="91425" lIns="91425" spcFirstLastPara="1" rIns="91425" wrap="square" tIns="91425">
                            <a:noAutofit/>
                          </wps:bodyPr>
                        </wps:wsp>
                        <wps:wsp>
                          <wps:cNvSpPr/>
                          <wps:cNvPr id="10" name="Shape 10"/>
                          <wps:spPr>
                            <a:xfrm>
                              <a:off x="4282275" y="7195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Chairman, BOD</w:t>
                                </w:r>
                              </w:p>
                            </w:txbxContent>
                          </wps:txbx>
                          <wps:bodyPr anchorCtr="0" anchor="ctr" bIns="91425" lIns="91425" spcFirstLastPara="1" rIns="91425" wrap="square" tIns="91425">
                            <a:noAutofit/>
                          </wps:bodyPr>
                        </wps:wsp>
                        <wps:wsp>
                          <wps:cNvSpPr/>
                          <wps:cNvPr id="11" name="Shape 11"/>
                          <wps:spPr>
                            <a:xfrm>
                              <a:off x="4082650" y="2700988"/>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Affairs Dept.</w:t>
                                </w:r>
                              </w:p>
                            </w:txbxContent>
                          </wps:txbx>
                          <wps:bodyPr anchorCtr="0" anchor="ctr" bIns="91425" lIns="91425" spcFirstLastPara="1" rIns="91425" wrap="square" tIns="91425">
                            <a:noAutofit/>
                          </wps:bodyPr>
                        </wps:wsp>
                        <wps:wsp>
                          <wps:cNvSpPr/>
                          <wps:cNvPr id="12" name="Shape 12"/>
                          <wps:spPr>
                            <a:xfrm>
                              <a:off x="4082650" y="3250863"/>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Finance Department</w:t>
                                </w:r>
                              </w:p>
                            </w:txbxContent>
                          </wps:txbx>
                          <wps:bodyPr anchorCtr="0" anchor="ctr" bIns="91425" lIns="91425" spcFirstLastPara="1" rIns="91425" wrap="square" tIns="91425">
                            <a:noAutofit/>
                          </wps:bodyPr>
                        </wps:wsp>
                        <wps:wsp>
                          <wps:cNvSpPr/>
                          <wps:cNvPr id="13" name="Shape 13"/>
                          <wps:spPr>
                            <a:xfrm>
                              <a:off x="4082650" y="378290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Department</w:t>
                                </w:r>
                              </w:p>
                            </w:txbxContent>
                          </wps:txbx>
                          <wps:bodyPr anchorCtr="0" anchor="ctr" bIns="91425" lIns="91425" spcFirstLastPara="1" rIns="91425" wrap="square" tIns="91425">
                            <a:noAutofit/>
                          </wps:bodyPr>
                        </wps:wsp>
                        <wps:wsp>
                          <wps:cNvSpPr/>
                          <wps:cNvPr id="14" name="Shape 14"/>
                          <wps:spPr>
                            <a:xfrm>
                              <a:off x="4082650" y="4314925"/>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Department</w:t>
                                </w:r>
                              </w:p>
                            </w:txbxContent>
                          </wps:txbx>
                          <wps:bodyPr anchorCtr="0" anchor="ctr" bIns="91425" lIns="91425" spcFirstLastPara="1" rIns="91425" wrap="square" tIns="91425">
                            <a:noAutofit/>
                          </wps:bodyPr>
                        </wps:wsp>
                        <wps:wsp>
                          <wps:cNvSpPr/>
                          <wps:cNvPr id="15" name="Shape 15"/>
                          <wps:spPr>
                            <a:xfrm>
                              <a:off x="449775" y="270100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Council of Company Presidents</w:t>
                                </w:r>
                              </w:p>
                            </w:txbxContent>
                          </wps:txbx>
                          <wps:bodyPr anchorCtr="0" anchor="ctr" bIns="91425" lIns="91425" spcFirstLastPara="1" rIns="91425" wrap="square" tIns="91425">
                            <a:noAutofit/>
                          </wps:bodyPr>
                        </wps:wsp>
                        <wps:wsp>
                          <wps:cNvSpPr/>
                          <wps:cNvPr id="16" name="Shape 16"/>
                          <wps:spPr>
                            <a:xfrm>
                              <a:off x="1048700" y="3241950"/>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Hurricane Inc.</w:t>
                                </w:r>
                              </w:p>
                            </w:txbxContent>
                          </wps:txbx>
                          <wps:bodyPr anchorCtr="0" anchor="ctr" bIns="91425" lIns="91425" spcFirstLastPara="1" rIns="91425" wrap="square" tIns="91425">
                            <a:noAutofit/>
                          </wps:bodyPr>
                        </wps:wsp>
                        <wps:wsp>
                          <wps:cNvSpPr/>
                          <wps:cNvPr id="17" name="Shape 17"/>
                          <wps:spPr>
                            <a:xfrm>
                              <a:off x="1048700" y="3782888"/>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Red Corp.</w:t>
                                </w:r>
                              </w:p>
                            </w:txbxContent>
                          </wps:txbx>
                          <wps:bodyPr anchorCtr="0" anchor="ctr" bIns="91425" lIns="91425" spcFirstLastPara="1" rIns="91425" wrap="square" tIns="91425">
                            <a:noAutofit/>
                          </wps:bodyPr>
                        </wps:wsp>
                        <wps:wsp>
                          <wps:cNvSpPr/>
                          <wps:cNvPr id="18" name="Shape 18"/>
                          <wps:spPr>
                            <a:xfrm>
                              <a:off x="1048700" y="4314925"/>
                              <a:ext cx="1838400" cy="3129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Happystones Inc.</w:t>
                                </w:r>
                              </w:p>
                            </w:txbxContent>
                          </wps:txbx>
                          <wps:bodyPr anchorCtr="0" anchor="ctr" bIns="91425" lIns="91425" spcFirstLastPara="1" rIns="91425" wrap="square" tIns="91425">
                            <a:noAutofit/>
                          </wps:bodyPr>
                        </wps:wsp>
                        <wps:wsp>
                          <wps:cNvCnPr/>
                          <wps:spPr>
                            <a:xfrm>
                              <a:off x="3207375" y="518250"/>
                              <a:ext cx="0" cy="2013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207375" y="103245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126575" y="876000"/>
                              <a:ext cx="155700" cy="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207375" y="149775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207375" y="196305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430575" y="2205150"/>
                              <a:ext cx="429000" cy="875400"/>
                            </a:xfrm>
                            <a:prstGeom prst="bentConnector2">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155625" y="2480100"/>
                              <a:ext cx="978900" cy="875400"/>
                            </a:xfrm>
                            <a:prstGeom prst="bentConnector2">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2889400" y="2746100"/>
                              <a:ext cx="1511100" cy="875400"/>
                            </a:xfrm>
                            <a:prstGeom prst="bentConnector2">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2623575" y="3012150"/>
                              <a:ext cx="2043000" cy="875400"/>
                            </a:xfrm>
                            <a:prstGeom prst="bentConnector2">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533275" y="2183250"/>
                              <a:ext cx="429000" cy="919200"/>
                            </a:xfrm>
                            <a:prstGeom prst="bentConnector2">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9775" y="2857450"/>
                              <a:ext cx="598800" cy="540900"/>
                            </a:xfrm>
                            <a:prstGeom prst="bentConnector3">
                              <a:avLst>
                                <a:gd fmla="val 36244"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9775" y="2857450"/>
                              <a:ext cx="598800" cy="1081800"/>
                            </a:xfrm>
                            <a:prstGeom prst="bentConnector3">
                              <a:avLst>
                                <a:gd fmla="val 36244"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9775" y="2857450"/>
                              <a:ext cx="598800" cy="1614000"/>
                            </a:xfrm>
                            <a:prstGeom prst="bentConnector3">
                              <a:avLst>
                                <a:gd fmla="val 36244"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530364" cy="5400675"/>
                <wp:effectExtent b="0" l="0" r="0" t="0"/>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30364" cy="5400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corporate office of the company is located in the </w:t>
      </w: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[Bldg. 1858  Mesa Drive, Las Vegas, Nevada]</w:t>
      </w:r>
      <w:r w:rsidDel="00000000" w:rsidR="00000000" w:rsidRPr="00000000">
        <w:rPr>
          <w:rFonts w:ascii="Calibri" w:cs="Calibri" w:eastAsia="Calibri" w:hAnsi="Calibri"/>
          <w:color w:val="111111"/>
          <w:rtl w:val="0"/>
        </w:rPr>
        <w:t xml:space="preserve">. The 5-story building houses all its employees and the offices for all its subsidiary companies. </w:t>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company, being a holding company, does not have its own tools and equipment since it does not have its own operations. The company has only acquired computer sets for its employees.</w:t>
      </w:r>
      <w:r w:rsidDel="00000000" w:rsidR="00000000" w:rsidRPr="00000000">
        <w:rPr>
          <w:rtl w:val="0"/>
        </w:rPr>
      </w:r>
    </w:p>
    <w:p w:rsidR="00000000" w:rsidDel="00000000" w:rsidP="00000000" w:rsidRDefault="00000000" w:rsidRPr="00000000" w14:paraId="00000160">
      <w:pPr>
        <w:ind w:left="720"/>
        <w:jc w:val="both"/>
        <w:rPr>
          <w:rFonts w:ascii="Calibri" w:cs="Calibri" w:eastAsia="Calibri" w:hAnsi="Calibri"/>
          <w:color w:val="111111"/>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150"/>
        <w:gridCol w:w="4215"/>
        <w:tblGridChange w:id="0">
          <w:tblGrid>
            <w:gridCol w:w="5150"/>
            <w:gridCol w:w="42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Intercom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Boomtown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w:t>
            </w:r>
          </w:p>
        </w:tc>
      </w:tr>
    </w:tbl>
    <w:p w:rsidR="00000000" w:rsidDel="00000000" w:rsidP="00000000" w:rsidRDefault="00000000" w:rsidRPr="00000000" w14:paraId="0000016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[Tri Holdings Inc.]</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6F">
      <w:pPr>
        <w:ind w:left="720"/>
        <w:jc w:val="both"/>
        <w:rPr>
          <w:rFonts w:ascii="Calibri" w:cs="Calibri" w:eastAsia="Calibri" w:hAnsi="Calibri"/>
          <w:b w:val="1"/>
          <w:color w:val="111111"/>
        </w:rPr>
      </w:pPr>
      <w:r w:rsidDel="00000000" w:rsidR="00000000" w:rsidRPr="00000000">
        <w:rPr>
          <w:rtl w:val="0"/>
        </w:rPr>
      </w:r>
    </w:p>
    <w:tbl>
      <w:tblPr>
        <w:tblStyle w:val="Table9"/>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710"/>
        <w:gridCol w:w="5855"/>
        <w:tblGridChange w:id="0">
          <w:tblGrid>
            <w:gridCol w:w="1800"/>
            <w:gridCol w:w="1710"/>
            <w:gridCol w:w="58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Instagram, YouTube, and LinkedIn.</w:t>
            </w:r>
          </w:p>
        </w:tc>
      </w:tr>
    </w:tbl>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7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7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current trends in the real estate industry. The company will focus much of its efforts to increase the profits of the subsidiary companies. </w:t>
      </w:r>
    </w:p>
    <w:p w:rsidR="00000000" w:rsidDel="00000000" w:rsidP="00000000" w:rsidRDefault="00000000" w:rsidRPr="00000000" w14:paraId="000001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As the company’s fiscal year starts on </w:t>
      </w:r>
      <w:r w:rsidDel="00000000" w:rsidR="00000000" w:rsidRPr="00000000">
        <w:rPr>
          <w:rFonts w:ascii="Calibri" w:cs="Calibri" w:eastAsia="Calibri" w:hAnsi="Calibri"/>
          <w:color w:val="111111"/>
          <w:highlight w:val="yellow"/>
          <w:rtl w:val="0"/>
        </w:rPr>
        <w:t xml:space="preserve">[July 2019]</w:t>
      </w:r>
      <w:r w:rsidDel="00000000" w:rsidR="00000000" w:rsidRPr="00000000">
        <w:rPr>
          <w:rFonts w:ascii="Calibri" w:cs="Calibri" w:eastAsia="Calibri" w:hAnsi="Calibri"/>
          <w:color w:val="111111"/>
          <w:rtl w:val="0"/>
        </w:rPr>
        <w:t xml:space="preserve">, the expenses provided below starts in </w:t>
      </w:r>
      <w:r w:rsidDel="00000000" w:rsidR="00000000" w:rsidRPr="00000000">
        <w:rPr>
          <w:rFonts w:ascii="Calibri" w:cs="Calibri" w:eastAsia="Calibri" w:hAnsi="Calibri"/>
          <w:color w:val="111111"/>
          <w:highlight w:val="yellow"/>
          <w:rtl w:val="0"/>
        </w:rPr>
        <w:t xml:space="preserve">[July]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1">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5943600" cy="3114675"/>
            <wp:effectExtent b="0" l="0" r="0" t="0"/>
            <wp:docPr descr="Points scored" id="7" name="image2.png"/>
            <a:graphic>
              <a:graphicData uri="http://schemas.openxmlformats.org/drawingml/2006/picture">
                <pic:pic>
                  <pic:nvPicPr>
                    <pic:cNvPr descr="Points scored" id="0" name="image2.png"/>
                    <pic:cNvPicPr preferRelativeResize="0"/>
                  </pic:nvPicPr>
                  <pic:blipFill>
                    <a:blip r:embed="rId10"/>
                    <a:srcRect b="0" l="0" r="0" t="0"/>
                    <a:stretch>
                      <a:fillRect/>
                    </a:stretch>
                  </pic:blipFill>
                  <pic:spPr>
                    <a:xfrm>
                      <a:off x="0" y="0"/>
                      <a:ext cx="5943600" cy="3114675"/>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8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As the company’s fiscal year starts on </w:t>
      </w:r>
      <w:r w:rsidDel="00000000" w:rsidR="00000000" w:rsidRPr="00000000">
        <w:rPr>
          <w:rFonts w:ascii="Calibri" w:cs="Calibri" w:eastAsia="Calibri" w:hAnsi="Calibri"/>
          <w:color w:val="111111"/>
          <w:highlight w:val="yellow"/>
          <w:rtl w:val="0"/>
        </w:rPr>
        <w:t xml:space="preserve">[July 2019]</w:t>
      </w:r>
      <w:r w:rsidDel="00000000" w:rsidR="00000000" w:rsidRPr="00000000">
        <w:rPr>
          <w:rFonts w:ascii="Calibri" w:cs="Calibri" w:eastAsia="Calibri" w:hAnsi="Calibri"/>
          <w:color w:val="111111"/>
          <w:rtl w:val="0"/>
        </w:rPr>
        <w:t xml:space="preserve">, the revenues provided below starts in </w:t>
      </w:r>
      <w:r w:rsidDel="00000000" w:rsidR="00000000" w:rsidRPr="00000000">
        <w:rPr>
          <w:rFonts w:ascii="Calibri" w:cs="Calibri" w:eastAsia="Calibri" w:hAnsi="Calibri"/>
          <w:color w:val="111111"/>
          <w:highlight w:val="yellow"/>
          <w:rtl w:val="0"/>
        </w:rPr>
        <w:t xml:space="preserve">[July]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7">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5943600" cy="2952750"/>
            <wp:effectExtent b="0" l="0" r="0" t="0"/>
            <wp:docPr descr="Points scored" id="6" name="image4.png"/>
            <a:graphic>
              <a:graphicData uri="http://schemas.openxmlformats.org/drawingml/2006/picture">
                <pic:pic>
                  <pic:nvPicPr>
                    <pic:cNvPr descr="Points scored" id="0" name="image4.png"/>
                    <pic:cNvPicPr preferRelativeResize="0"/>
                  </pic:nvPicPr>
                  <pic:blipFill>
                    <a:blip r:embed="rId11"/>
                    <a:srcRect b="0" l="0" r="0" t="0"/>
                    <a:stretch>
                      <a:fillRect/>
                    </a:stretch>
                  </pic:blipFill>
                  <pic:spPr>
                    <a:xfrm>
                      <a:off x="0" y="0"/>
                      <a:ext cx="594360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18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8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investment of the shareholders. The shareholders with common shares each contribute $</w:t>
      </w:r>
      <w:r w:rsidDel="00000000" w:rsidR="00000000" w:rsidRPr="00000000">
        <w:rPr>
          <w:rFonts w:ascii="Calibri" w:cs="Calibri" w:eastAsia="Calibri" w:hAnsi="Calibri"/>
          <w:color w:val="111111"/>
          <w:highlight w:val="yellow"/>
          <w:rtl w:val="0"/>
        </w:rPr>
        <w:t xml:space="preserve">[250,000.00]</w:t>
      </w:r>
      <w:r w:rsidDel="00000000" w:rsidR="00000000" w:rsidRPr="00000000">
        <w:rPr>
          <w:rFonts w:ascii="Calibri" w:cs="Calibri" w:eastAsia="Calibri" w:hAnsi="Calibri"/>
          <w:color w:val="111111"/>
          <w:rtl w:val="0"/>
        </w:rPr>
        <w:t xml:space="preserve"> and the shareholders with preferred shares each contribute $</w:t>
      </w:r>
      <w:r w:rsidDel="00000000" w:rsidR="00000000" w:rsidRPr="00000000">
        <w:rPr>
          <w:rFonts w:ascii="Calibri" w:cs="Calibri" w:eastAsia="Calibri" w:hAnsi="Calibri"/>
          <w:color w:val="111111"/>
          <w:highlight w:val="yellow"/>
          <w:rtl w:val="0"/>
        </w:rPr>
        <w:t xml:space="preserve">[125,000.00]</w:t>
      </w:r>
      <w:r w:rsidDel="00000000" w:rsidR="00000000" w:rsidRPr="00000000">
        <w:rPr>
          <w:rFonts w:ascii="Calibri" w:cs="Calibri" w:eastAsia="Calibri" w:hAnsi="Calibri"/>
          <w:color w:val="111111"/>
          <w:rtl w:val="0"/>
        </w:rPr>
        <w:t xml:space="preserve">, which all amount to $</w:t>
      </w:r>
      <w:r w:rsidDel="00000000" w:rsidR="00000000" w:rsidRPr="00000000">
        <w:rPr>
          <w:rFonts w:ascii="Calibri" w:cs="Calibri" w:eastAsia="Calibri" w:hAnsi="Calibri"/>
          <w:color w:val="111111"/>
          <w:highlight w:val="yellow"/>
          <w:rtl w:val="0"/>
        </w:rPr>
        <w:t xml:space="preserve">[2,000,000.00]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92">
      <w:pPr>
        <w:rPr>
          <w:rFonts w:ascii="Calibri" w:cs="Calibri" w:eastAsia="Calibri" w:hAnsi="Calibri"/>
          <w:b w:val="1"/>
          <w:color w:val="111111"/>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02"/>
        <w:gridCol w:w="1713"/>
        <w:gridCol w:w="1530"/>
        <w:gridCol w:w="1710"/>
        <w:tblGridChange w:id="0">
          <w:tblGrid>
            <w:gridCol w:w="4402"/>
            <w:gridCol w:w="1713"/>
            <w:gridCol w:w="1530"/>
            <w:gridCol w:w="171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Salaries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$631,200.00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$681,940.00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$727,800.00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$2,668,800.00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$4,218,060.00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$6,772,200.00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$648,800.00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$718,060.00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$822,200.00</w:t>
            </w:r>
            <w:r w:rsidDel="00000000" w:rsidR="00000000" w:rsidRPr="00000000">
              <w:rPr>
                <w:rtl w:val="0"/>
              </w:rPr>
            </w:r>
          </w:p>
        </w:tc>
      </w:tr>
    </w:tbl>
    <w:p w:rsidR="00000000" w:rsidDel="00000000" w:rsidP="00000000" w:rsidRDefault="00000000" w:rsidRPr="00000000" w14:paraId="000001EB">
      <w:pPr>
        <w:rPr>
          <w:rFonts w:ascii="Calibri" w:cs="Calibri" w:eastAsia="Calibri" w:hAnsi="Calibri"/>
          <w:b w:val="1"/>
          <w:color w:val="111111"/>
        </w:rPr>
      </w:pPr>
      <w:r w:rsidDel="00000000" w:rsidR="00000000" w:rsidRPr="00000000">
        <w:rPr>
          <w:rtl w:val="0"/>
        </w:rPr>
      </w:r>
    </w:p>
    <w:tbl>
      <w:tblPr>
        <w:tblStyle w:val="Table11"/>
        <w:tblW w:w="93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02"/>
        <w:gridCol w:w="1710"/>
        <w:gridCol w:w="1530"/>
        <w:gridCol w:w="1710"/>
        <w:tblGridChange w:id="0">
          <w:tblGrid>
            <w:gridCol w:w="4402"/>
            <w:gridCol w:w="1710"/>
            <w:gridCol w:w="1530"/>
            <w:gridCol w:w="171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$2,600,000.00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$3,750,000.00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$1,060,000.00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$1,275,000.00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$1,590,000.00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$1,160,000.00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$1,540,000.00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$2,160,000.00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73.61%</w:t>
            </w:r>
            <w:r w:rsidDel="00000000" w:rsidR="00000000" w:rsidRPr="00000000">
              <w:rPr>
                <w:rtl w:val="0"/>
              </w:rPr>
            </w:r>
          </w:p>
        </w:tc>
      </w:tr>
    </w:tbl>
    <w:p w:rsidR="00000000" w:rsidDel="00000000" w:rsidP="00000000" w:rsidRDefault="00000000" w:rsidRPr="00000000" w14:paraId="0000023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12"/>
        <w:tblW w:w="93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02"/>
        <w:gridCol w:w="1710"/>
        <w:gridCol w:w="1530"/>
        <w:gridCol w:w="1710"/>
        <w:tblGridChange w:id="0">
          <w:tblGrid>
            <w:gridCol w:w="4402"/>
            <w:gridCol w:w="1710"/>
            <w:gridCol w:w="1530"/>
            <w:gridCol w:w="171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$12,950,000.00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Expense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Salaries Expense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$631,200.00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$681,940.00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$727,800.00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$6,068,800.00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$8,518,060.00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$12,222,200.00</w:t>
            </w:r>
            <w:r w:rsidDel="00000000" w:rsidR="00000000" w:rsidRPr="00000000">
              <w:rPr>
                <w:rtl w:val="0"/>
              </w:rPr>
            </w:r>
          </w:p>
        </w:tc>
      </w:tr>
    </w:tbl>
    <w:p w:rsidR="00000000" w:rsidDel="00000000" w:rsidP="00000000" w:rsidRDefault="00000000" w:rsidRPr="00000000" w14:paraId="000002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8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rPr>
        <w:b w:val="1"/>
        <w:color w:val="0000ff"/>
        <w:shd w:fill="cccccc" w:val="clear"/>
      </w:rPr>
    </w:pPr>
    <w:r w:rsidDel="00000000" w:rsidR="00000000" w:rsidRPr="00000000">
      <w:rPr>
        <w:rtl w:val="0"/>
      </w:rPr>
    </w:r>
  </w:p>
  <w:p w:rsidR="00000000" w:rsidDel="00000000" w:rsidP="00000000" w:rsidRDefault="00000000" w:rsidRPr="00000000" w14:paraId="0000028D">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-1269999</wp:posOffset>
              </wp:positionH>
              <wp:positionV relativeFrom="paragraph">
                <wp:posOffset>-736599</wp:posOffset>
              </wp:positionV>
              <wp:extent cx="881395" cy="881395"/>
              <wp:effectExtent b="0" l="0" r="0" t="0"/>
              <wp:wrapNone/>
              <wp:docPr id="1" name=""/>
              <a:graphic>
                <a:graphicData uri="http://schemas.microsoft.com/office/word/2010/wordprocessingShape">
                  <wps:wsp>
                    <wps:cNvSpPr/>
                    <wps:cNvPr id="2" name="Shape 2"/>
                    <wps:spPr>
                      <a:xfrm>
                        <a:off x="4910065" y="3344065"/>
                        <a:ext cx="871870" cy="871870"/>
                      </a:xfrm>
                      <a:prstGeom prst="ellipse">
                        <a:avLst/>
                      </a:prstGeom>
                      <a:solidFill>
                        <a:srgbClr val="0000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-1269999</wp:posOffset>
              </wp:positionH>
              <wp:positionV relativeFrom="paragraph">
                <wp:posOffset>-736599</wp:posOffset>
              </wp:positionV>
              <wp:extent cx="881395" cy="88139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81395" cy="8813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