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Fonts w:ascii="Raleway" w:cs="Raleway" w:eastAsia="Raleway" w:hAnsi="Raleway"/>
          <w:b w:val="1"/>
          <w:color w:val="333333"/>
          <w:sz w:val="76"/>
          <w:szCs w:val="76"/>
          <w:rtl w:val="0"/>
        </w:rPr>
        <w:t xml:space="preserve">[Month] Contract </w:t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b w:val="1"/>
          <w:color w:val="333333"/>
          <w:sz w:val="76"/>
          <w:szCs w:val="76"/>
        </w:rPr>
      </w:pPr>
      <w:r w:rsidDel="00000000" w:rsidR="00000000" w:rsidRPr="00000000">
        <w:rPr>
          <w:rFonts w:ascii="Raleway" w:cs="Raleway" w:eastAsia="Raleway" w:hAnsi="Raleway"/>
          <w:b w:val="1"/>
          <w:color w:val="333333"/>
          <w:sz w:val="76"/>
          <w:szCs w:val="76"/>
          <w:rtl w:val="0"/>
        </w:rPr>
        <w:t xml:space="preserve">Management Report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Raleway" w:cs="Raleway" w:eastAsia="Raleway" w:hAnsi="Raleway"/>
          <w:color w:val="33333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457200</wp:posOffset>
                </wp:positionV>
                <wp:extent cx="9942488" cy="32512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4756" y="2154400"/>
                          <a:ext cx="9942488" cy="3251200"/>
                          <a:chOff x="374756" y="2154400"/>
                          <a:chExt cx="9942488" cy="3251200"/>
                        </a:xfrm>
                      </wpg:grpSpPr>
                      <wpg:grpSp>
                        <wpg:cNvGrpSpPr/>
                        <wpg:grpSpPr>
                          <a:xfrm>
                            <a:off x="374756" y="2154400"/>
                            <a:ext cx="9942488" cy="3251200"/>
                            <a:chOff x="0" y="0"/>
                            <a:chExt cx="9942488" cy="32512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9942475" cy="32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992533" cy="3251200"/>
                            </a:xfrm>
                            <a:prstGeom prst="parallelogram">
                              <a:avLst>
                                <a:gd fmla="val 0" name="adj"/>
                              </a:avLst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14400" y="304800"/>
                              <a:ext cx="4080510" cy="1202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Submitted by		:	[Your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Submission date		:	[Date]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Submitted to		:	[Name of Manager]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 SemiBold" w:cs="Raleway SemiBold" w:eastAsia="Raleway SemiBold" w:hAnsi="Raleway Semi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5100" y="0"/>
                              <a:ext cx="5967388" cy="3175774"/>
                            </a:xfrm>
                            <a:prstGeom prst="parallelogram">
                              <a:avLst>
                                <a:gd fmla="val 66540" name="adj"/>
                              </a:avLst>
                            </a:prstGeom>
                            <a:solidFill>
                              <a:srgbClr val="2BCBE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134100" y="2286000"/>
                              <a:ext cx="1191491" cy="471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aleway" w:cs="Raleway" w:eastAsia="Raleway" w:hAnsi="Raleway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52"/>
                                    <w:vertAlign w:val="baseline"/>
                                  </w:rPr>
                                  <w:t xml:space="preserve">[Year]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457200</wp:posOffset>
                </wp:positionV>
                <wp:extent cx="9942488" cy="3251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2488" cy="325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Raleway" w:cs="Raleway" w:eastAsia="Raleway" w:hAnsi="Raleway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730"/>
        <w:gridCol w:w="4220"/>
        <w:gridCol w:w="4600"/>
        <w:tblGridChange w:id="0">
          <w:tblGrid>
            <w:gridCol w:w="730"/>
            <w:gridCol w:w="4220"/>
            <w:gridCol w:w="460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Governance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Action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Suggestion / Proposal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No standard procedures on contract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Identification of processes or procedures and development of such procedures whether existing or not.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Roles and Responsibilities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Role definitions for key personnel are too broad.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Map processes for existing roles for the purpose of documentation and understanding of individuals and of the 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Capacity and Resources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Lack of time in performing supplier audits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Resource assessment for individual processes should be made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Supplier Data and Management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Some contracts are not readily supplied with Management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Management information should be incorporated at the creation stages of the contract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Division of responsibility for staff involved with contract management are not documented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 cooperative approach to contract management should be introduced with defined terms of reference in the resolution of any issue or actions.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Communication and Cooperation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Insufficient or uncoordinated turnover of knowledge in the duration of the contract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Contract management plans should be discussed at the procurement stages of the contract while considering the life cycle of the contract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Management of Performance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Inaccuracy in reporting of KPIs (Key Performance Indicators) reflecting the delivered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Regular intervals of performance management reviews for contracts to stay updated with relevant KPIs. Consideration of making a standardized process of development for management of data during contract creation.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Supplier Delivery and Assurance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Issues in verification of delivered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Identify key risks to invoice accuracy and validity; identified high risks must be linked to actual delivery of service.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[item]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[proposal]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0</wp:posOffset>
              </wp:positionV>
              <wp:extent cx="1668992" cy="10932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16267" y="3238133"/>
                        <a:ext cx="1659467" cy="1083734"/>
                      </a:xfrm>
                      <a:prstGeom prst="parallelogram">
                        <a:avLst>
                          <a:gd fmla="val 66540" name="adj"/>
                        </a:avLst>
                      </a:prstGeom>
                      <a:solidFill>
                        <a:srgbClr val="2BCBE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5867400</wp:posOffset>
              </wp:positionH>
              <wp:positionV relativeFrom="paragraph">
                <wp:posOffset>0</wp:posOffset>
              </wp:positionV>
              <wp:extent cx="1668992" cy="109325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992" cy="10932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