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-482599</wp:posOffset>
                </wp:positionV>
                <wp:extent cx="7528801" cy="7557319"/>
                <wp:effectExtent b="0" l="0" r="0" t="0"/>
                <wp:wrapNone/>
                <wp:docPr id="4" name=""/>
                <a:graphic>
                  <a:graphicData uri="http://schemas.microsoft.com/office/word/2010/wordprocessingGroup">
                    <wpg:wgp>
                      <wpg:cNvGrpSpPr/>
                      <wpg:grpSpPr>
                        <a:xfrm>
                          <a:off x="1581600" y="0"/>
                          <a:ext cx="7528801" cy="7557319"/>
                          <a:chOff x="1581600" y="0"/>
                          <a:chExt cx="7528801" cy="7560000"/>
                        </a:xfrm>
                      </wpg:grpSpPr>
                      <wps:wsp>
                        <wps:cNvSpPr/>
                        <wps:cNvPr id="5" name="Shape 5"/>
                        <wps:spPr>
                          <a:xfrm>
                            <a:off x="1581600" y="0"/>
                            <a:ext cx="7528800" cy="755999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54110" y="1786399"/>
                            <a:ext cx="6756291" cy="2409572"/>
                            <a:chOff x="-704" y="-6343"/>
                            <a:chExt cx="292891" cy="190275"/>
                          </a:xfrm>
                        </wpg:grpSpPr>
                        <wps:wsp>
                          <wps:cNvSpPr/>
                          <wps:cNvPr id="7" name="Shape 7"/>
                          <wps:spPr>
                            <a:xfrm>
                              <a:off x="0" y="0"/>
                              <a:ext cx="290779" cy="183932"/>
                            </a:xfrm>
                            <a:custGeom>
                              <a:rect b="b" l="l" r="r" t="t"/>
                              <a:pathLst>
                                <a:path extrusionOk="0" h="49" w="79">
                                  <a:moveTo>
                                    <a:pt x="79" y="1"/>
                                  </a:moveTo>
                                  <a:cubicBezTo>
                                    <a:pt x="78" y="0"/>
                                    <a:pt x="76" y="0"/>
                                    <a:pt x="75" y="0"/>
                                  </a:cubicBezTo>
                                  <a:cubicBezTo>
                                    <a:pt x="8" y="13"/>
                                    <a:pt x="8" y="13"/>
                                    <a:pt x="8" y="13"/>
                                  </a:cubicBezTo>
                                  <a:cubicBezTo>
                                    <a:pt x="3" y="13"/>
                                    <a:pt x="0" y="16"/>
                                    <a:pt x="0" y="21"/>
                                  </a:cubicBezTo>
                                  <a:cubicBezTo>
                                    <a:pt x="0" y="41"/>
                                    <a:pt x="0" y="41"/>
                                    <a:pt x="0" y="41"/>
                                  </a:cubicBezTo>
                                  <a:cubicBezTo>
                                    <a:pt x="0" y="45"/>
                                    <a:pt x="3" y="49"/>
                                    <a:pt x="8" y="49"/>
                                  </a:cubicBezTo>
                                  <a:cubicBezTo>
                                    <a:pt x="76" y="43"/>
                                    <a:pt x="76" y="43"/>
                                    <a:pt x="76" y="43"/>
                                  </a:cubicBezTo>
                                  <a:cubicBezTo>
                                    <a:pt x="77" y="43"/>
                                    <a:pt x="78" y="42"/>
                                    <a:pt x="79" y="42"/>
                                  </a:cubicBezTo>
                                </a:path>
                              </a:pathLst>
                            </a:custGeom>
                            <a:solidFill>
                              <a:srgbClr val="13817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04" y="-6343"/>
                              <a:ext cx="292891" cy="167445"/>
                            </a:xfrm>
                            <a:custGeom>
                              <a:rect b="b" l="l" r="r" t="t"/>
                              <a:pathLst>
                                <a:path extrusionOk="0" h="43" w="79">
                                  <a:moveTo>
                                    <a:pt x="79" y="0"/>
                                  </a:moveTo>
                                  <a:cubicBezTo>
                                    <a:pt x="79" y="43"/>
                                    <a:pt x="79" y="43"/>
                                    <a:pt x="79" y="43"/>
                                  </a:cubicBezTo>
                                  <a:cubicBezTo>
                                    <a:pt x="79" y="43"/>
                                    <a:pt x="79" y="43"/>
                                    <a:pt x="79" y="43"/>
                                  </a:cubicBezTo>
                                  <a:cubicBezTo>
                                    <a:pt x="8" y="42"/>
                                    <a:pt x="8" y="42"/>
                                    <a:pt x="8" y="42"/>
                                  </a:cubicBezTo>
                                  <a:cubicBezTo>
                                    <a:pt x="3" y="42"/>
                                    <a:pt x="0" y="38"/>
                                    <a:pt x="0" y="34"/>
                                  </a:cubicBezTo>
                                  <a:cubicBezTo>
                                    <a:pt x="0" y="13"/>
                                    <a:pt x="0" y="13"/>
                                    <a:pt x="0" y="13"/>
                                  </a:cubicBezTo>
                                  <a:cubicBezTo>
                                    <a:pt x="0" y="9"/>
                                    <a:pt x="3" y="6"/>
                                    <a:pt x="8" y="6"/>
                                  </a:cubicBezTo>
                                  <a:cubicBezTo>
                                    <a:pt x="78" y="0"/>
                                    <a:pt x="78" y="0"/>
                                    <a:pt x="78" y="0"/>
                                  </a:cubicBezTo>
                                  <a:cubicBezTo>
                                    <a:pt x="78" y="0"/>
                                    <a:pt x="79" y="0"/>
                                    <a:pt x="79" y="0"/>
                                  </a:cubicBezTo>
                                  <a:close/>
                                </a:path>
                              </a:pathLst>
                            </a:cu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 name="Shape 9"/>
                        <wps:spPr>
                          <a:xfrm>
                            <a:off x="2968965" y="2368633"/>
                            <a:ext cx="5919248" cy="576627"/>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333333"/>
                                  <w:sz w:val="76"/>
                                  <w:vertAlign w:val="baseline"/>
                                </w:rPr>
                                <w:t xml:space="preserve">90-DAY SALES ACTION PLAN</w:t>
                              </w:r>
                            </w:p>
                          </w:txbxContent>
                        </wps:txbx>
                        <wps:bodyPr anchorCtr="0" anchor="t" bIns="45700" lIns="91425" spcFirstLastPara="1" rIns="91425" wrap="square" tIns="45700">
                          <a:noAutofit/>
                        </wps:bodyPr>
                      </wps:wsp>
                      <wps:wsp>
                        <wps:cNvSpPr/>
                        <wps:cNvPr id="10" name="Shape 10"/>
                        <wps:spPr>
                          <a:xfrm>
                            <a:off x="3504993" y="3017029"/>
                            <a:ext cx="5381135" cy="433228"/>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333333"/>
                                  <w:sz w:val="40"/>
                                  <w:vertAlign w:val="baseline"/>
                                </w:rPr>
                                <w:t xml:space="preserve">[INSERT NAME OF COMPANY]</w:t>
                              </w:r>
                            </w:p>
                          </w:txbxContent>
                        </wps:txbx>
                        <wps:bodyPr anchorCtr="0" anchor="t" bIns="45700" lIns="91425" spcFirstLastPara="1" rIns="91425" wrap="square" tIns="45700">
                          <a:noAutofit/>
                        </wps:bodyPr>
                      </wps:wsp>
                      <wps:wsp>
                        <wps:cNvSpPr/>
                        <wps:cNvPr id="11" name="Shape 11"/>
                        <wps:spPr>
                          <a:xfrm>
                            <a:off x="1581600" y="6272244"/>
                            <a:ext cx="3736340" cy="7145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[INSERT COMPANY COMPLETE ADDRESS]</w:t>
                              </w:r>
                            </w:p>
                          </w:txbxContent>
                        </wps:txbx>
                        <wps:bodyPr anchorCtr="0" anchor="t" bIns="45700" lIns="91425" spcFirstLastPara="1" rIns="91425" wrap="square" tIns="45700">
                          <a:noAutofit/>
                        </wps:bodyPr>
                      </wps:wsp>
                      <wps:wsp>
                        <wps:cNvSpPr/>
                        <wps:cNvPr id="12" name="Shape 12"/>
                        <wps:spPr>
                          <a:xfrm>
                            <a:off x="6216662" y="6272244"/>
                            <a:ext cx="2668905" cy="7674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333333"/>
                                  <w:sz w:val="30"/>
                                  <w:vertAlign w:val="baseline"/>
                                </w:rPr>
                                <w:t xml:space="preserve">[INSERT CONTACT DETAILS]</w:t>
                              </w:r>
                            </w:p>
                          </w:txbxContent>
                        </wps:txbx>
                        <wps:bodyPr anchorCtr="0" anchor="t" bIns="45700" lIns="91425" spcFirstLastPara="1" rIns="91425" wrap="square" tIns="45700">
                          <a:noAutofit/>
                        </wps:bodyPr>
                      </wps:wsp>
                      <wps:wsp>
                        <wps:cNvSpPr/>
                        <wps:cNvPr id="13" name="Shape 13"/>
                        <wps:spPr>
                          <a:xfrm>
                            <a:off x="1581600" y="0"/>
                            <a:ext cx="1064512" cy="432779"/>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[LOGO]</w:t>
                              </w:r>
                            </w:p>
                          </w:txbxContent>
                        </wps:txbx>
                        <wps:bodyPr anchorCtr="0" anchor="t" bIns="45700" lIns="91425" spcFirstLastPara="1" rIns="91425" wrap="square" tIns="45700">
                          <a:noAutofit/>
                        </wps:bodyPr>
                      </wps:wsp>
                      <wps:wsp>
                        <wps:cNvSpPr/>
                        <wps:cNvPr id="14" name="Shape 14"/>
                        <wps:spPr>
                          <a:xfrm>
                            <a:off x="2669420" y="7052967"/>
                            <a:ext cx="5502166" cy="50703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6"/>
                                  <w:vertAlign w:val="baseline"/>
                                </w:rPr>
                                <w:t xml:space="preserve">Any inquiries with respect to this proposal may be directed to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6"/>
                                  <w:vertAlign w:val="baseline"/>
                                </w:rPr>
                              </w:r>
                              <w:r w:rsidDel="00000000" w:rsidR="00000000" w:rsidRPr="00000000">
                                <w:rPr>
                                  <w:rFonts w:ascii="Calibri" w:cs="Calibri" w:eastAsia="Calibri" w:hAnsi="Calibri"/>
                                  <w:b w:val="1"/>
                                  <w:i w:val="0"/>
                                  <w:smallCaps w:val="0"/>
                                  <w:strike w:val="0"/>
                                  <w:color w:val="333333"/>
                                  <w:sz w:val="26"/>
                                  <w:vertAlign w:val="baseline"/>
                                </w:rPr>
                                <w:t xml:space="preserve">[INSERT NAME OR LIST OF NAMES, JOB POSITIONS, AND CONTACT DETAILS]</w:t>
                              </w:r>
                            </w:p>
                          </w:txbxContent>
                        </wps:txbx>
                        <wps:bodyPr anchorCtr="0" anchor="t" bIns="45700" lIns="91425" spcFirstLastPara="1" rIns="91425" wrap="square" tIns="45700">
                          <a:noAutofit/>
                        </wps:bodyPr>
                      </wps:wsp>
                      <wps:wsp>
                        <wps:cNvSpPr/>
                        <wps:cNvPr id="15" name="Shape 15"/>
                        <wps:spPr>
                          <a:xfrm>
                            <a:off x="1581600" y="5637080"/>
                            <a:ext cx="3736340" cy="35231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PREPARED BY :</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-482599</wp:posOffset>
                </wp:positionV>
                <wp:extent cx="7528801" cy="7557319"/>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528801" cy="7557319"/>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33333"/>
        </w:rPr>
      </w:pPr>
      <w:r w:rsidDel="00000000" w:rsidR="00000000" w:rsidRPr="00000000">
        <w:rPr>
          <w:rFonts w:ascii="Calibri" w:cs="Calibri" w:eastAsia="Calibri" w:hAnsi="Calibri"/>
          <w:color w:val="333333"/>
          <w:rtl w:val="0"/>
        </w:rPr>
        <w:t xml:space="preserve">1. Introduction</w:t>
        <w:tab/>
        <w:tab/>
        <w:tab/>
        <w:tab/>
        <w:tab/>
        <w:tab/>
        <w:tab/>
        <w:tab/>
        <w:tab/>
        <w:tab/>
        <w:tab/>
        <w:t xml:space="preserve">xx                                                                 </w:t>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Overview</w:t>
        <w:tab/>
        <w:tab/>
        <w:tab/>
        <w:tab/>
        <w:tab/>
        <w:tab/>
        <w:tab/>
        <w:tab/>
        <w:tab/>
        <w:tab/>
        <w:tab/>
        <w:t xml:space="preserve">xx                                                                                                 </w:t>
        <w:tab/>
        <w:tab/>
        <w:tab/>
        <w:t xml:space="preserve">      </w:t>
      </w:r>
    </w:p>
    <w:p w:rsidR="00000000" w:rsidDel="00000000" w:rsidP="00000000" w:rsidRDefault="00000000" w:rsidRPr="00000000" w14:paraId="00000009">
      <w:pPr>
        <w:rPr>
          <w:rFonts w:ascii="Calibri" w:cs="Calibri" w:eastAsia="Calibri" w:hAnsi="Calibri"/>
          <w:color w:val="333333"/>
        </w:rPr>
      </w:pPr>
      <w:r w:rsidDel="00000000" w:rsidR="00000000" w:rsidRPr="00000000">
        <w:rPr>
          <w:rFonts w:ascii="Calibri" w:cs="Calibri" w:eastAsia="Calibri" w:hAnsi="Calibri"/>
          <w:color w:val="333333"/>
          <w:rtl w:val="0"/>
        </w:rPr>
        <w:t xml:space="preserve">3. Phase 1</w:t>
        <w:tab/>
        <w:tab/>
        <w:tab/>
        <w:tab/>
        <w:tab/>
        <w:tab/>
        <w:tab/>
        <w:tab/>
        <w:tab/>
        <w:tab/>
        <w:tab/>
        <w:t xml:space="preserve">xx                                                                                               </w:t>
        <w:tab/>
        <w:tab/>
        <w:t xml:space="preserve">     </w:t>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 Phase 2</w:t>
        <w:tab/>
        <w:tab/>
        <w:tab/>
        <w:tab/>
        <w:tab/>
        <w:tab/>
        <w:tab/>
        <w:tab/>
        <w:tab/>
        <w:tab/>
        <w:tab/>
        <w:t xml:space="preserve">xx                                                                                                           </w:t>
      </w:r>
    </w:p>
    <w:p w:rsidR="00000000" w:rsidDel="00000000" w:rsidP="00000000" w:rsidRDefault="00000000" w:rsidRPr="00000000" w14:paraId="0000000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333333"/>
        </w:rPr>
      </w:pPr>
      <w:r w:rsidDel="00000000" w:rsidR="00000000" w:rsidRPr="00000000">
        <w:rPr>
          <w:rFonts w:ascii="Calibri" w:cs="Calibri" w:eastAsia="Calibri" w:hAnsi="Calibri"/>
          <w:color w:val="333333"/>
          <w:rtl w:val="0"/>
        </w:rPr>
        <w:t xml:space="preserve">5. Phase 3</w:t>
        <w:tab/>
        <w:tab/>
        <w:tab/>
        <w:tab/>
        <w:tab/>
        <w:tab/>
        <w:tab/>
        <w:tab/>
        <w:tab/>
        <w:tab/>
        <w:tab/>
        <w:t xml:space="preserve">xx                                                                                                         </w:t>
      </w:r>
    </w:p>
    <w:p w:rsidR="00000000" w:rsidDel="00000000" w:rsidP="00000000" w:rsidRDefault="00000000" w:rsidRPr="00000000" w14:paraId="0000000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Fonts w:ascii="Calibri" w:cs="Calibri" w:eastAsia="Calibri" w:hAnsi="Calibri"/>
          <w:color w:val="333333"/>
          <w:rtl w:val="0"/>
        </w:rPr>
        <w:t xml:space="preserve">6. Summary of Key Tasks</w:t>
        <w:tab/>
        <w:tab/>
        <w:tab/>
        <w:tab/>
        <w:tab/>
        <w:tab/>
        <w:tab/>
        <w:tab/>
        <w:tab/>
        <w:t xml:space="preserve">xx      </w:t>
      </w:r>
    </w:p>
    <w:p w:rsidR="00000000" w:rsidDel="00000000" w:rsidP="00000000" w:rsidRDefault="00000000" w:rsidRPr="00000000" w14:paraId="0000000F">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0">
      <w:pPr>
        <w:rPr>
          <w:rFonts w:ascii="Calibri" w:cs="Calibri" w:eastAsia="Calibri" w:hAnsi="Calibri"/>
          <w:color w:val="333333"/>
        </w:rPr>
      </w:pPr>
      <w:r w:rsidDel="00000000" w:rsidR="00000000" w:rsidRPr="00000000">
        <w:rPr>
          <w:rFonts w:ascii="Calibri" w:cs="Calibri" w:eastAsia="Calibri" w:hAnsi="Calibri"/>
          <w:color w:val="333333"/>
          <w:rtl w:val="0"/>
        </w:rPr>
        <w:t xml:space="preserve">7. Key Questions</w:t>
        <w:tab/>
        <w:tab/>
        <w:tab/>
        <w:tab/>
        <w:tab/>
        <w:tab/>
        <w:tab/>
        <w:tab/>
        <w:tab/>
        <w:tab/>
        <w:t xml:space="preserve">xx                                                                                                </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8. Complex Sales Plan Mapping</w:t>
        <w:tab/>
        <w:tab/>
        <w:tab/>
        <w:tab/>
        <w:tab/>
        <w:tab/>
        <w:tab/>
        <w:tab/>
        <w:tab/>
        <w:t xml:space="preserve">xx                                                                      </w:t>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Introduction</w:t>
      </w:r>
    </w:p>
    <w:p w:rsidR="00000000" w:rsidDel="00000000" w:rsidP="00000000" w:rsidRDefault="00000000" w:rsidRPr="00000000" w14:paraId="0000002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need to ramp up sales and profit is imperative in every business endeavors if it wants to achieve its short- and long-term goals and objectives. Profit is the lifeblood of a business and it is through sales that profits materialize especially in the kind of industry that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is engaged in. In order to facilitate the increase of revenue through sales, the company has developed this 90-day sales action plan which outlines the course of action that the company will undertake to achieve its short- and long-term sales goals. At least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 of companies coming from the same industry have used a similar 90-day sales action plan to improve revenue generation.   </w:t>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Overview</w:t>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plan will be divided into three (3) phases with each phase having thirty (30) day action items that need to complete within their respective timelines. The table below provides an overview of the plan.</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tbl>
      <w:tblPr>
        <w:tblStyle w:val="Table1"/>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30"/>
        <w:gridCol w:w="3120"/>
        <w:gridCol w:w="3100"/>
        <w:tblGridChange w:id="0">
          <w:tblGrid>
            <w:gridCol w:w="3230"/>
            <w:gridCol w:w="3120"/>
            <w:gridCol w:w="31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Phase 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Phase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Phase 3</w:t>
            </w:r>
          </w:p>
        </w:tc>
      </w:tr>
      <w:t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1. Company Orientation</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 Training</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3. Setting of Goals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4. Review of Strategic Plan</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5. Start of the Tactical Plan</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6. [INSERT OTHER ITEMS]</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1. Meetings in Territory.</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ind w:left="200" w:hanging="200"/>
              <w:rPr>
                <w:rFonts w:ascii="Calibri" w:cs="Calibri" w:eastAsia="Calibri" w:hAnsi="Calibri"/>
                <w:color w:val="333333"/>
              </w:rPr>
            </w:pPr>
            <w:r w:rsidDel="00000000" w:rsidR="00000000" w:rsidRPr="00000000">
              <w:rPr>
                <w:rFonts w:ascii="Calibri" w:cs="Calibri" w:eastAsia="Calibri" w:hAnsi="Calibri"/>
                <w:color w:val="333333"/>
                <w:rtl w:val="0"/>
              </w:rPr>
              <w:t xml:space="preserve">2. Working on the Top 20 Company Accounts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360" w:lineRule="auto"/>
              <w:ind w:left="200" w:hanging="200"/>
              <w:rPr>
                <w:rFonts w:ascii="Calibri" w:cs="Calibri" w:eastAsia="Calibri" w:hAnsi="Calibri"/>
                <w:color w:val="333333"/>
              </w:rPr>
            </w:pPr>
            <w:r w:rsidDel="00000000" w:rsidR="00000000" w:rsidRPr="00000000">
              <w:rPr>
                <w:rFonts w:ascii="Calibri" w:cs="Calibri" w:eastAsia="Calibri" w:hAnsi="Calibri"/>
                <w:color w:val="333333"/>
                <w:rtl w:val="0"/>
              </w:rPr>
              <w:t xml:space="preserve">3. Working on the Secondary Accounts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4. Continue Pipeline Build</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5. [INSERT OTHER ITEMS]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1. Generate Pipeline Quota</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360" w:lineRule="auto"/>
              <w:ind w:left="230" w:hanging="230"/>
              <w:rPr>
                <w:rFonts w:ascii="Calibri" w:cs="Calibri" w:eastAsia="Calibri" w:hAnsi="Calibri"/>
                <w:color w:val="333333"/>
              </w:rPr>
            </w:pPr>
            <w:r w:rsidDel="00000000" w:rsidR="00000000" w:rsidRPr="00000000">
              <w:rPr>
                <w:rFonts w:ascii="Calibri" w:cs="Calibri" w:eastAsia="Calibri" w:hAnsi="Calibri"/>
                <w:color w:val="333333"/>
                <w:rtl w:val="0"/>
              </w:rPr>
              <w:t xml:space="preserve">2. Refine and Polish Daily Strategies and Tactics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360" w:lineRule="auto"/>
              <w:ind w:left="230" w:hanging="230"/>
              <w:rPr>
                <w:rFonts w:ascii="Calibri" w:cs="Calibri" w:eastAsia="Calibri" w:hAnsi="Calibri"/>
                <w:color w:val="333333"/>
              </w:rPr>
            </w:pPr>
            <w:r w:rsidDel="00000000" w:rsidR="00000000" w:rsidRPr="00000000">
              <w:rPr>
                <w:rFonts w:ascii="Calibri" w:cs="Calibri" w:eastAsia="Calibri" w:hAnsi="Calibri"/>
                <w:color w:val="333333"/>
                <w:rtl w:val="0"/>
              </w:rPr>
              <w:t xml:space="preserve">3. Establish a Long-Term Sales Plan</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4. Manager Review</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5. [INSERT OTHER ITEMS]</w:t>
            </w:r>
          </w:p>
        </w:tc>
      </w:tr>
    </w:tbl>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Phase 1</w:t>
      </w:r>
    </w:p>
    <w:p w:rsidR="00000000" w:rsidDel="00000000" w:rsidP="00000000" w:rsidRDefault="00000000" w:rsidRPr="00000000" w14:paraId="0000004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phase of the plan covers the first thirty (30) days of the entire 90-day sales action plan. It can be summed up into three categories: company training, strategy, and tactics. The goal of this phase is to identify, rank, and map out target customers with the highest probability of closing sales. The table below shows the outline of actions to be taken by the company at this stage of the plan.</w:t>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tbl>
      <w:tblPr>
        <w:tblStyle w:val="Table2"/>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630"/>
        <w:gridCol w:w="2610"/>
        <w:gridCol w:w="2070"/>
        <w:gridCol w:w="2140"/>
        <w:tblGridChange w:id="0">
          <w:tblGrid>
            <w:gridCol w:w="2630"/>
            <w:gridCol w:w="2610"/>
            <w:gridCol w:w="2070"/>
            <w:gridCol w:w="2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Orientation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 OF ACTIONS]</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Master the relevant subject matter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Discuss and review the marketing strategy, products, services, and company processes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learn the  procedures for reports, emails, and other relevant paperwork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about primary competition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Discuss and review strategies and tactics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Meet with the manager to set out expectations and priorities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Commence communication, correspond with other teams, and meet with prospective customers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ACTIONS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Phase 2</w:t>
      </w:r>
    </w:p>
    <w:p w:rsidR="00000000" w:rsidDel="00000000" w:rsidP="00000000" w:rsidRDefault="00000000" w:rsidRPr="00000000" w14:paraId="0000007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Phase 2 encompasses the first sixty (60) days of the plan and can be summarized as a continuance of actions to schedule meetings in different territories and refine the sales strategies and tactics. This phase aims to optimize the expected results of the sales plan which is based on territory coverage and channel capacity. The actions to be taken under this plan are shown in the table below.</w:t>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color w:val="333333"/>
        </w:rPr>
      </w:pPr>
      <w:r w:rsidDel="00000000" w:rsidR="00000000" w:rsidRPr="00000000">
        <w:rPr>
          <w:rtl w:val="0"/>
        </w:rPr>
      </w:r>
    </w:p>
    <w:tbl>
      <w:tblPr>
        <w:tblStyle w:val="Table3"/>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50"/>
        <w:gridCol w:w="2790"/>
        <w:gridCol w:w="2070"/>
        <w:gridCol w:w="2140"/>
        <w:tblGridChange w:id="0">
          <w:tblGrid>
            <w:gridCol w:w="2450"/>
            <w:gridCol w:w="2790"/>
            <w:gridCol w:w="2070"/>
            <w:gridCol w:w="2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One-on-one pipeline coaching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 OF ACTIONS]</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Review of goals and objectives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collaborative work with alliance 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more about advanced sales processes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Complete mastery of the details and specifications of the products and services being offered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Mastery of the sales pitches and presentations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Mastery of the price list and discount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ACTIONS]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A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Phase 3</w:t>
      </w:r>
    </w:p>
    <w:p w:rsidR="00000000" w:rsidDel="00000000" w:rsidP="00000000" w:rsidRDefault="00000000" w:rsidRPr="00000000" w14:paraId="000000A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is the closing phase of the plan and will include the following actions until culmination. The plan will culminate with a celebration of the sales team’s success in achieving the goals and objectives. The goal under this phase is to wrap up the activities and set the success metrics in order to determine the number of deals closed and the amount of revenue generated.</w:t>
      </w:r>
    </w:p>
    <w:p w:rsidR="00000000" w:rsidDel="00000000" w:rsidP="00000000" w:rsidRDefault="00000000" w:rsidRPr="00000000" w14:paraId="000000A7">
      <w:pPr>
        <w:jc w:val="both"/>
        <w:rPr>
          <w:rFonts w:ascii="Calibri" w:cs="Calibri" w:eastAsia="Calibri" w:hAnsi="Calibri"/>
          <w:color w:val="333333"/>
        </w:rPr>
      </w:pPr>
      <w:r w:rsidDel="00000000" w:rsidR="00000000" w:rsidRPr="00000000">
        <w:rPr>
          <w:rtl w:val="0"/>
        </w:rPr>
      </w:r>
    </w:p>
    <w:tbl>
      <w:tblPr>
        <w:tblStyle w:val="Table4"/>
        <w:tblW w:w="9360.0" w:type="dxa"/>
        <w:jc w:val="left"/>
        <w:tblInd w:w="8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60"/>
        <w:gridCol w:w="2790"/>
        <w:gridCol w:w="2070"/>
        <w:gridCol w:w="2140"/>
        <w:tblGridChange w:id="0">
          <w:tblGrid>
            <w:gridCol w:w="2360"/>
            <w:gridCol w:w="2790"/>
            <w:gridCol w:w="2070"/>
            <w:gridCol w:w="2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One-on-one coaching focused on marketing and selling skills</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DETAILS OF ACTIONS]</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START DATE]</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END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Continued refinement of tactical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and master forecast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Implementing new plans, techniques, and procedures to improve product and service presence in the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the total number of deals closed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Review major sales incidents for the past ninety (90)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Celebrate success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ACTIONS]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Summary of Key Tasks</w:t>
      </w:r>
    </w:p>
    <w:p w:rsidR="00000000" w:rsidDel="00000000" w:rsidP="00000000" w:rsidRDefault="00000000" w:rsidRPr="00000000" w14:paraId="000000C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0">
      <w:pPr>
        <w:rPr>
          <w:rFonts w:ascii="Calibri" w:cs="Calibri" w:eastAsia="Calibri" w:hAnsi="Calibri"/>
          <w:color w:val="333333"/>
        </w:rPr>
      </w:pPr>
      <w:r w:rsidDel="00000000" w:rsidR="00000000" w:rsidRPr="00000000">
        <w:rPr>
          <w:rFonts w:ascii="Calibri" w:cs="Calibri" w:eastAsia="Calibri" w:hAnsi="Calibri"/>
          <w:color w:val="333333"/>
          <w:rtl w:val="0"/>
        </w:rPr>
        <w:t xml:space="preserve">Below is a summary of the key tasks to be performed and completed during the 90-day period covered in this plan. </w:t>
      </w:r>
    </w:p>
    <w:p w:rsidR="00000000" w:rsidDel="00000000" w:rsidP="00000000" w:rsidRDefault="00000000" w:rsidRPr="00000000" w14:paraId="000000D1">
      <w:pPr>
        <w:rPr>
          <w:rFonts w:ascii="Calibri" w:cs="Calibri" w:eastAsia="Calibri" w:hAnsi="Calibri"/>
          <w:color w:val="333333"/>
        </w:rPr>
      </w:pPr>
      <w:r w:rsidDel="00000000" w:rsidR="00000000" w:rsidRPr="00000000">
        <w:rPr>
          <w:rtl w:val="0"/>
        </w:rPr>
      </w:r>
    </w:p>
    <w:tbl>
      <w:tblPr>
        <w:tblStyle w:val="Table5"/>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50"/>
        <w:gridCol w:w="2340"/>
        <w:gridCol w:w="2250"/>
        <w:gridCol w:w="2410"/>
        <w:tblGridChange w:id="0">
          <w:tblGrid>
            <w:gridCol w:w="2450"/>
            <w:gridCol w:w="2340"/>
            <w:gridCol w:w="2250"/>
            <w:gridCol w:w="2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Key 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30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60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90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Historical Sales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CHECK MARK IF APPLICABLE WITHIN THE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CHECK MARK IF APPLICABLE WITHIN THE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CHECK MARK IF APPLICABLE WITHIN THE PERIOD]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Customer Interviews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Creation of a Customer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Creation of a Capacity Model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Rank and Map Targets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Sales Metrics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Performing Gap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Execute Sales Campaigns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Deliver the Quota Achievement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Execute the Email and Call Campaign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Deliver the Pipeline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KEY 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0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Key Questions</w:t>
      </w:r>
    </w:p>
    <w:p w:rsidR="00000000" w:rsidDel="00000000" w:rsidP="00000000" w:rsidRDefault="00000000" w:rsidRPr="00000000" w14:paraId="0000010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key questions should be considered in determining the most appropriate course of action. The following are the key questions used in the development of this plan.   </w:t>
      </w:r>
    </w:p>
    <w:p w:rsidR="00000000" w:rsidDel="00000000" w:rsidP="00000000" w:rsidRDefault="00000000" w:rsidRPr="00000000" w14:paraId="000001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 are the biggest challenges that the company will be facing in the next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[INSERT NUMBER OF YEARS]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years?</w:t>
      </w:r>
    </w:p>
    <w:p w:rsidR="00000000" w:rsidDel="00000000" w:rsidP="00000000" w:rsidRDefault="00000000" w:rsidRPr="00000000" w14:paraId="000001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How is this plan going to address the said challenges?</w:t>
      </w:r>
    </w:p>
    <w:p w:rsidR="00000000" w:rsidDel="00000000" w:rsidP="00000000" w:rsidRDefault="00000000" w:rsidRPr="00000000" w14:paraId="000001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 are the action items that absolutely require accomplishment in the first ninety (90) days?  </w:t>
      </w:r>
    </w:p>
    <w:p w:rsidR="00000000" w:rsidDel="00000000" w:rsidP="00000000" w:rsidRDefault="00000000" w:rsidRPr="00000000" w14:paraId="000001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 are the actions that need to be accomplished after the end of the first ninety (90) days?  </w:t>
      </w:r>
    </w:p>
    <w:p w:rsidR="00000000" w:rsidDel="00000000" w:rsidP="00000000" w:rsidRDefault="00000000" w:rsidRPr="00000000" w14:paraId="000001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 are the opportunities for growth available to the company?</w:t>
      </w:r>
    </w:p>
    <w:p w:rsidR="00000000" w:rsidDel="00000000" w:rsidP="00000000" w:rsidRDefault="00000000" w:rsidRPr="00000000" w14:paraId="000001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What are the sales objectives in terms of profit and revenue generation? </w:t>
      </w:r>
    </w:p>
    <w:p w:rsidR="00000000" w:rsidDel="00000000" w:rsidP="00000000" w:rsidRDefault="00000000" w:rsidRPr="00000000" w14:paraId="000001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[INSERT OTHER QUESTIONS]</w:t>
      </w: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Complex Sales Plan Mapping</w:t>
      </w:r>
    </w:p>
    <w:p w:rsidR="00000000" w:rsidDel="00000000" w:rsidP="00000000" w:rsidRDefault="00000000" w:rsidRPr="00000000" w14:paraId="0000011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is designed to win complex sales. The sales plan mapping used in this section is based on the famous Maverick Selling Method. It is a unique selling method that provides a complete picture of a complex sales work and has been modeled according to the most successful people in the sales industry. The following table outlines the complete process under this method.</w:t>
      </w:r>
    </w:p>
    <w:p w:rsidR="00000000" w:rsidDel="00000000" w:rsidP="00000000" w:rsidRDefault="00000000" w:rsidRPr="00000000" w14:paraId="0000011E">
      <w:pPr>
        <w:jc w:val="both"/>
        <w:rPr>
          <w:rFonts w:ascii="Calibri" w:cs="Calibri" w:eastAsia="Calibri" w:hAnsi="Calibri"/>
          <w:color w:val="333333"/>
        </w:rPr>
      </w:pPr>
      <w:r w:rsidDel="00000000" w:rsidR="00000000" w:rsidRPr="00000000">
        <w:rPr>
          <w:rtl w:val="0"/>
        </w:rPr>
      </w:r>
    </w:p>
    <w:tbl>
      <w:tblPr>
        <w:tblStyle w:val="Table6"/>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50"/>
        <w:gridCol w:w="2340"/>
        <w:gridCol w:w="2250"/>
        <w:gridCol w:w="2410"/>
        <w:tblGridChange w:id="0">
          <w:tblGrid>
            <w:gridCol w:w="2450"/>
            <w:gridCol w:w="2340"/>
            <w:gridCol w:w="2250"/>
            <w:gridCol w:w="241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Mind Map</w:t>
            </w:r>
          </w:p>
        </w:tc>
      </w:tr>
      <w:tr>
        <w:tc>
          <w:tcPr>
            <w:shd w:fill="auto" w:val="clear"/>
            <w:tcMar>
              <w:top w:w="100.0" w:type="dxa"/>
              <w:left w:w="100.0" w:type="dxa"/>
              <w:bottom w:w="100.0" w:type="dxa"/>
              <w:right w:w="100.0" w:type="dxa"/>
            </w:tcMar>
            <w:vAlign w:val="bottom"/>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Prospecting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Technical Sales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First Call</w:t>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1. Who needs to sign off?</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Business justification</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Risks</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4. Players</w:t>
            </w:r>
          </w:p>
          <w:p w:rsidR="00000000" w:rsidDel="00000000" w:rsidP="00000000" w:rsidRDefault="00000000" w:rsidRPr="00000000" w14:paraId="0000012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Who is the person responsible for the initiation of purchases?</w:t>
            </w:r>
          </w:p>
          <w:p w:rsidR="00000000" w:rsidDel="00000000" w:rsidP="00000000" w:rsidRDefault="00000000" w:rsidRPr="00000000" w14:paraId="0000012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Who can say no?</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5. Laws</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6. [INSERT OTHER ITEMS]</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 Who</w:t>
            </w:r>
          </w:p>
          <w:p w:rsidR="00000000" w:rsidDel="00000000" w:rsidP="00000000" w:rsidRDefault="00000000" w:rsidRPr="00000000" w14:paraId="000001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Title</w:t>
            </w:r>
          </w:p>
          <w:p w:rsidR="00000000" w:rsidDel="00000000" w:rsidP="00000000" w:rsidRDefault="00000000" w:rsidRPr="00000000" w14:paraId="000001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Industry</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2. Highest value/low resistance</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Where</w:t>
            </w:r>
          </w:p>
          <w:p w:rsidR="00000000" w:rsidDel="00000000" w:rsidP="00000000" w:rsidRDefault="00000000" w:rsidRPr="00000000" w14:paraId="0000013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Geographic location</w:t>
            </w:r>
          </w:p>
          <w:p w:rsidR="00000000" w:rsidDel="00000000" w:rsidP="00000000" w:rsidRDefault="00000000" w:rsidRPr="00000000" w14:paraId="0000013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Online preferences</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4. What do they care about?</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5. [INSERT OTHER ITEMS]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1. What are the sets of rules?</w:t>
            </w:r>
          </w:p>
          <w:p w:rsidR="00000000" w:rsidDel="00000000" w:rsidP="00000000" w:rsidRDefault="00000000" w:rsidRPr="00000000" w14:paraId="000001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Time</w:t>
            </w:r>
          </w:p>
          <w:p w:rsidR="00000000" w:rsidDel="00000000" w:rsidP="00000000" w:rsidRDefault="00000000" w:rsidRPr="00000000" w14:paraId="000001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Money</w:t>
            </w:r>
          </w:p>
          <w:p w:rsidR="00000000" w:rsidDel="00000000" w:rsidP="00000000" w:rsidRDefault="00000000" w:rsidRPr="00000000" w14:paraId="000001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Rules that need to be modified</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2. Written requirements</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170" w:hanging="170"/>
              <w:rPr>
                <w:rFonts w:ascii="Calibri" w:cs="Calibri" w:eastAsia="Calibri" w:hAnsi="Calibri"/>
                <w:color w:val="333333"/>
              </w:rPr>
            </w:pPr>
            <w:r w:rsidDel="00000000" w:rsidR="00000000" w:rsidRPr="00000000">
              <w:rPr>
                <w:rFonts w:ascii="Calibri" w:cs="Calibri" w:eastAsia="Calibri" w:hAnsi="Calibri"/>
                <w:color w:val="333333"/>
                <w:rtl w:val="0"/>
              </w:rPr>
              <w:t xml:space="preserve">3. Authority for technical recommendations</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ind w:left="170" w:hanging="170"/>
              <w:rPr>
                <w:rFonts w:ascii="Calibri" w:cs="Calibri" w:eastAsia="Calibri" w:hAnsi="Calibri"/>
                <w:color w:val="333333"/>
              </w:rPr>
            </w:pPr>
            <w:r w:rsidDel="00000000" w:rsidR="00000000" w:rsidRPr="00000000">
              <w:rPr>
                <w:rFonts w:ascii="Calibri" w:cs="Calibri" w:eastAsia="Calibri" w:hAnsi="Calibri"/>
                <w:color w:val="333333"/>
                <w:rtl w:val="0"/>
              </w:rPr>
              <w:t xml:space="preserve">4. Informal requirements</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5. Influencers</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6. Lockouts</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7. Alternatives</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8. Applicable laws</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9. Usual errors and how to prevent them</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ind w:left="350" w:hanging="350"/>
              <w:rPr>
                <w:rFonts w:ascii="Calibri" w:cs="Calibri" w:eastAsia="Calibri" w:hAnsi="Calibri"/>
                <w:color w:val="333333"/>
              </w:rPr>
            </w:pPr>
            <w:r w:rsidDel="00000000" w:rsidR="00000000" w:rsidRPr="00000000">
              <w:rPr>
                <w:rFonts w:ascii="Calibri" w:cs="Calibri" w:eastAsia="Calibri" w:hAnsi="Calibri"/>
                <w:color w:val="333333"/>
                <w:rtl w:val="0"/>
              </w:rPr>
              <w:t xml:space="preserve">10. [INSERT OTHER ITEMS]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 Direct Push</w:t>
            </w:r>
          </w:p>
          <w:p w:rsidR="00000000" w:rsidDel="00000000" w:rsidP="00000000" w:rsidRDefault="00000000" w:rsidRPr="00000000" w14:paraId="0000015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Tell customers about what they do not know</w:t>
            </w:r>
          </w:p>
          <w:p w:rsidR="00000000" w:rsidDel="00000000" w:rsidP="00000000" w:rsidRDefault="00000000" w:rsidRPr="00000000" w14:paraId="0000015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Talk to customers about what others are doing</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Indirect Push</w:t>
            </w:r>
          </w:p>
          <w:p w:rsidR="00000000" w:rsidDel="00000000" w:rsidP="00000000" w:rsidRDefault="00000000" w:rsidRPr="00000000" w14:paraId="0000015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Case study</w:t>
            </w:r>
          </w:p>
          <w:p w:rsidR="00000000" w:rsidDel="00000000" w:rsidP="00000000" w:rsidRDefault="00000000" w:rsidRPr="00000000" w14:paraId="0000015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Industry research</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Pull</w:t>
            </w:r>
          </w:p>
          <w:p w:rsidR="00000000" w:rsidDel="00000000" w:rsidP="00000000" w:rsidRDefault="00000000" w:rsidRPr="00000000" w14:paraId="0000016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 customer’s level of commitment, credibility, openness, and urgency</w:t>
            </w:r>
          </w:p>
          <w:p w:rsidR="00000000" w:rsidDel="00000000" w:rsidP="00000000" w:rsidRDefault="00000000" w:rsidRPr="00000000" w14:paraId="0000016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Set meeting objectives</w:t>
            </w:r>
          </w:p>
          <w:p w:rsidR="00000000" w:rsidDel="00000000" w:rsidP="00000000" w:rsidRDefault="00000000" w:rsidRPr="00000000" w14:paraId="0000016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their needs and wants</w:t>
            </w:r>
          </w:p>
          <w:p w:rsidR="00000000" w:rsidDel="00000000" w:rsidP="00000000" w:rsidRDefault="00000000" w:rsidRPr="00000000" w14:paraId="0000016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preparations required</w:t>
            </w:r>
          </w:p>
          <w:p w:rsidR="00000000" w:rsidDel="00000000" w:rsidP="00000000" w:rsidRDefault="00000000" w:rsidRPr="00000000" w14:paraId="0000016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6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error areas and the means to prevent them</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4. [INSERT OTHER ITEMS]</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ind w:left="72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6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6A">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6" name="Shape 16"/>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rtl w:val="0"/>
        </w:rPr>
      </w:r>
    </w:p>
    <w:p w:rsidR="00000000" w:rsidDel="00000000" w:rsidP="00000000" w:rsidRDefault="00000000" w:rsidRPr="00000000" w14:paraId="0000016E">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6F">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7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4" name="Shape 4"/>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7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7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8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8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8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8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7" name="Shape 17"/>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color w:val="333333"/>
        </w:rPr>
      </w:pPr>
      <w:r w:rsidDel="00000000" w:rsidR="00000000" w:rsidRPr="00000000">
        <w:rPr>
          <w:rtl w:val="0"/>
        </w:rPr>
      </w:r>
    </w:p>
    <w:sectPr>
      <w:headerReference r:id="rId15" w:type="first"/>
      <w:footerReference r:id="rId16"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1673679" cy="317491"/>
              <wp:effectExtent b="0" l="0" r="0" t="0"/>
              <wp:wrapNone/>
              <wp:docPr id="2" name=""/>
              <a:graphic>
                <a:graphicData uri="http://schemas.microsoft.com/office/word/2010/wordprocessingShape">
                  <wps:wsp>
                    <wps:cNvSpPr/>
                    <wps:cNvPr id="3" name="Shape 3"/>
                    <wps:spPr>
                      <a:xfrm>
                        <a:off x="4513923" y="3626017"/>
                        <a:ext cx="1664154" cy="307966"/>
                      </a:xfrm>
                      <a:prstGeom prst="rect">
                        <a:avLst/>
                      </a:prstGeom>
                      <a:gradFill>
                        <a:gsLst>
                          <a:gs pos="0">
                            <a:srgbClr val="138171"/>
                          </a:gs>
                          <a:gs pos="100000">
                            <a:srgbClr val="138171">
                              <a:alpha val="43921"/>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1673679" cy="317491"/>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73679" cy="31749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3.png"/><Relationship Id="rId13" Type="http://schemas.openxmlformats.org/officeDocument/2006/relationships/image" Target="media/image9.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header" Target="header1.xml"/><Relationship Id="rId14" Type="http://schemas.openxmlformats.org/officeDocument/2006/relationships/image" Target="media/image6.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7.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