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hd w:fill="ffe599"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-1041399</wp:posOffset>
                </wp:positionH>
                <wp:positionV relativeFrom="paragraph">
                  <wp:posOffset>-76199</wp:posOffset>
                </wp:positionV>
                <wp:extent cx="7994552" cy="7851962"/>
                <wp:effectExtent b="0" l="0" r="0" t="0"/>
                <wp:wrapNone/>
                <wp:docPr id="1" name=""/>
                <a:graphic>
                  <a:graphicData uri="http://schemas.microsoft.com/office/word/2010/wordprocessingGroup">
                    <wpg:wgp>
                      <wpg:cNvGrpSpPr/>
                      <wpg:grpSpPr>
                        <a:xfrm>
                          <a:off x="1348724" y="0"/>
                          <a:ext cx="7994552" cy="7851962"/>
                          <a:chOff x="1348724" y="0"/>
                          <a:chExt cx="7994552" cy="7559999"/>
                        </a:xfrm>
                      </wpg:grpSpPr>
                      <wps:wsp>
                        <wps:cNvSpPr/>
                        <wps:cNvPr id="2" name="Shape 2"/>
                        <wps:spPr>
                          <a:xfrm>
                            <a:off x="1348724" y="0"/>
                            <a:ext cx="7994548" cy="75599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348724" y="2514995"/>
                            <a:ext cx="7994552" cy="1732104"/>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649903" y="2980039"/>
                            <a:ext cx="5439001" cy="796218"/>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04040"/>
                                  <w:sz w:val="96"/>
                                  <w:vertAlign w:val="baseline"/>
                                </w:rPr>
                                <w:t xml:space="preserve">100-DAY PLAN</w:t>
                              </w:r>
                            </w:p>
                          </w:txbxContent>
                        </wps:txbx>
                        <wps:bodyPr anchorCtr="0" anchor="t" bIns="45700" lIns="91425" spcFirstLastPara="1" rIns="91425" wrap="square" tIns="45700">
                          <a:noAutofit/>
                        </wps:bodyPr>
                      </wps:wsp>
                      <wps:wsp>
                        <wps:cNvSpPr/>
                        <wps:cNvPr id="5" name="Shape 5"/>
                        <wps:spPr>
                          <a:xfrm>
                            <a:off x="2649903" y="0"/>
                            <a:ext cx="5439001" cy="16622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[COMPANY LETTERHEAD WITH LOGO]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[COMPANY NAME]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CONTACT DETAILS]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DATE OF ISSUANCE]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BUSINESS EMAIL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s:wsp>
                        <wps:cNvSpPr/>
                        <wps:cNvPr id="6" name="Shape 6"/>
                        <wps:spPr>
                          <a:xfrm>
                            <a:off x="2649903" y="4903327"/>
                            <a:ext cx="5439001" cy="94962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NAME OR LIST OF NAMES]</w:t>
                              </w:r>
                            </w:p>
                          </w:txbxContent>
                        </wps:txbx>
                        <wps:bodyPr anchorCtr="0" anchor="t" bIns="45700" lIns="91425" spcFirstLastPara="1" rIns="91425" wrap="square" tIns="45700">
                          <a:noAutofit/>
                        </wps:bodyPr>
                      </wps:wsp>
                      <wps:wsp>
                        <wps:cNvSpPr/>
                        <wps:cNvPr id="7" name="Shape 7"/>
                        <wps:spPr>
                          <a:xfrm>
                            <a:off x="2649903" y="6213698"/>
                            <a:ext cx="5439001" cy="1346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Any inquiries with respect to this proposal may be directed to: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NAME OR LIST OF NAMES]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JOB TITLE]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CONTACT NUMBER AND EMAIL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-1041399</wp:posOffset>
                </wp:positionH>
                <wp:positionV relativeFrom="paragraph">
                  <wp:posOffset>-76199</wp:posOffset>
                </wp:positionV>
                <wp:extent cx="7994552" cy="785196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994552" cy="7851962"/>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b w:val="1"/>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tbl>
      <w:tblPr>
        <w:tblStyle w:val="Table1"/>
        <w:tblW w:w="9333.0" w:type="dxa"/>
        <w:jc w:val="left"/>
        <w:tblInd w:w="-90.0" w:type="dxa"/>
        <w:tblLayout w:type="fixed"/>
        <w:tblLook w:val="0400"/>
      </w:tblPr>
      <w:tblGrid>
        <w:gridCol w:w="4711"/>
        <w:gridCol w:w="4622"/>
        <w:tblGridChange w:id="0">
          <w:tblGrid>
            <w:gridCol w:w="4711"/>
            <w:gridCol w:w="4622"/>
          </w:tblGrid>
        </w:tblGridChange>
      </w:tblGrid>
      <w:tr>
        <w:trPr>
          <w:trHeight w:val="560" w:hRule="atLeast"/>
        </w:trPr>
        <w:tc>
          <w:tcPr>
            <w:shd w:fill="auto" w:val="clear"/>
            <w:vAlign w:val="center"/>
          </w:tcPr>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 Executive Summary</w:t>
            </w:r>
          </w:p>
        </w:tc>
        <w:tc>
          <w:tcPr>
            <w:shd w:fill="auto" w:val="clear"/>
            <w:vAlign w:val="center"/>
          </w:tcPr>
          <w:p w:rsidR="00000000" w:rsidDel="00000000" w:rsidP="00000000" w:rsidRDefault="00000000" w:rsidRPr="00000000" w14:paraId="00000007">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 Objective</w:t>
            </w:r>
          </w:p>
        </w:tc>
        <w:tc>
          <w:tcPr>
            <w:shd w:fill="auto" w:val="clear"/>
            <w:vAlign w:val="center"/>
          </w:tcPr>
          <w:p w:rsidR="00000000" w:rsidDel="00000000" w:rsidP="00000000" w:rsidRDefault="00000000" w:rsidRPr="00000000" w14:paraId="00000009">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Strategic Approach</w:t>
            </w:r>
          </w:p>
        </w:tc>
        <w:tc>
          <w:tcPr>
            <w:shd w:fill="auto" w:val="clear"/>
            <w:vAlign w:val="center"/>
          </w:tcPr>
          <w:p w:rsidR="00000000" w:rsidDel="00000000" w:rsidP="00000000" w:rsidRDefault="00000000" w:rsidRPr="00000000" w14:paraId="0000000B">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Core Components</w:t>
            </w:r>
          </w:p>
        </w:tc>
        <w:tc>
          <w:tcPr>
            <w:shd w:fill="auto" w:val="clear"/>
            <w:vAlign w:val="center"/>
          </w:tcPr>
          <w:p w:rsidR="00000000" w:rsidDel="00000000" w:rsidP="00000000" w:rsidRDefault="00000000" w:rsidRPr="00000000" w14:paraId="0000000D">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r>
        <w:trPr>
          <w:trHeight w:val="560" w:hRule="atLeast"/>
        </w:trPr>
        <w:tc>
          <w:tcPr>
            <w:shd w:fill="auto" w:val="clear"/>
            <w:vAlign w:val="center"/>
          </w:tcPr>
          <w:p w:rsidR="00000000" w:rsidDel="00000000" w:rsidP="00000000" w:rsidRDefault="00000000" w:rsidRPr="00000000" w14:paraId="0000000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 Planning</w:t>
            </w:r>
          </w:p>
        </w:tc>
        <w:tc>
          <w:tcPr>
            <w:shd w:fill="auto" w:val="clear"/>
            <w:vAlign w:val="center"/>
          </w:tcPr>
          <w:p w:rsidR="00000000" w:rsidDel="00000000" w:rsidP="00000000" w:rsidRDefault="00000000" w:rsidRPr="00000000" w14:paraId="0000000F">
            <w:pPr>
              <w:spacing w:line="240" w:lineRule="auto"/>
              <w:jc w:val="right"/>
              <w:rPr/>
            </w:pPr>
            <w:r w:rsidDel="00000000" w:rsidR="00000000" w:rsidRPr="00000000">
              <w:rPr>
                <w:rFonts w:ascii="Calibri" w:cs="Calibri" w:eastAsia="Calibri" w:hAnsi="Calibri"/>
                <w:shd w:fill="ffe599" w:val="clear"/>
                <w:rtl w:val="0"/>
              </w:rPr>
              <w:t xml:space="preserve">[INSERT PAGE NUMBER]</w:t>
            </w:r>
            <w:r w:rsidDel="00000000" w:rsidR="00000000" w:rsidRPr="00000000">
              <w:rPr>
                <w:rtl w:val="0"/>
              </w:rPr>
            </w:r>
          </w:p>
        </w:tc>
      </w:tr>
    </w:tbl>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b w:val="1"/>
          <w:rtl w:val="0"/>
        </w:rPr>
        <w:tab/>
        <w:tab/>
        <w:tab/>
        <w:tab/>
        <w:tab/>
        <w:tab/>
        <w:tab/>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Executive Summary</w:t>
      </w:r>
    </w:p>
    <w:p w:rsidR="00000000" w:rsidDel="00000000" w:rsidP="00000000" w:rsidRDefault="00000000" w:rsidRPr="00000000" w14:paraId="0000002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This 100-day plan intends to ensure success and obtain the desired result of the recent integration and merger between </w:t>
      </w:r>
      <w:r w:rsidDel="00000000" w:rsidR="00000000" w:rsidRPr="00000000">
        <w:rPr>
          <w:rFonts w:ascii="Calibri" w:cs="Calibri" w:eastAsia="Calibri" w:hAnsi="Calibri"/>
          <w:shd w:fill="ffe599" w:val="clear"/>
          <w:rtl w:val="0"/>
        </w:rPr>
        <w:t xml:space="preserve">[COMPANY 1]</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[COMPANY 2]</w:t>
      </w:r>
      <w:r w:rsidDel="00000000" w:rsidR="00000000" w:rsidRPr="00000000">
        <w:rPr>
          <w:rFonts w:ascii="Calibri" w:cs="Calibri" w:eastAsia="Calibri" w:hAnsi="Calibri"/>
          <w:rtl w:val="0"/>
        </w:rPr>
        <w:t xml:space="preserve">. The companies acknowledge the importance of placing a well devised plan to address the critical implications inherent in the first 100 days of integration. The companies have been aware of the previous failures in company mergers due to the lack of high-degree post-merger planning. This mistake accounts for more than 50% of merger failures over the last decade and more than 75% percent of merger failures in the company’s industry.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Objective</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The overall goal of this 100-day plan is to ensure the continued operation of businesses post-merger in accordance with the identified business objectives set out in the merger plan. This plan will also identify the actions or operations required to mitigate the risks inherent in mergers and secure the desired results of the planned company venture. </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OTHER OBJECTIVES]</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Strategic Approach</w:t>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The strategic approach for an effective 100-day plan involves detailed planning based on the following phases of integration: (a) pre-signing; (b) day 1 preparation; (c) the first 100 days; and (d) integration execution. The plan delves into the objectives and milestones of each phases to determine the proper course of action in the first 100 days of integration post-merger. These objectives are shown on the table below.</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tbl>
      <w:tblPr>
        <w:tblStyle w:val="Table2"/>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225"/>
        <w:gridCol w:w="3120"/>
        <w:gridCol w:w="3015"/>
        <w:tblGridChange w:id="0">
          <w:tblGrid>
            <w:gridCol w:w="3225"/>
            <w:gridCol w:w="3120"/>
            <w:gridCol w:w="30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Phase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Objectives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Pre-signing</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Day 1 preparation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The first 100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Integration execution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[INSERT OTHER PHASE]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Core Components</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The plan identifies a set of actions, deliverables, and timelines which will be classified into core components. These core components intend to cover all areas of the new business and involve implementation and analysis.  The following are the core components for this 100-day post-merger plan:</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 integration</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Organizational transformation</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integration</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OTHER CORE COMPONENTS]</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Planning</w:t>
      </w:r>
    </w:p>
    <w:p w:rsidR="00000000" w:rsidDel="00000000" w:rsidP="00000000" w:rsidRDefault="00000000" w:rsidRPr="00000000" w14:paraId="0000005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The plan’s core components set the milestones for the new business. These milestones are broken down into pieces of activities each of which relate to a specific functional area of the new business. A matrix of this plan is shown below. </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3"/>
        <w:tblW w:w="936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445"/>
        <w:gridCol w:w="2250"/>
        <w:gridCol w:w="2250"/>
        <w:gridCol w:w="2415"/>
        <w:tblGridChange w:id="0">
          <w:tblGrid>
            <w:gridCol w:w="2445"/>
            <w:gridCol w:w="2250"/>
            <w:gridCol w:w="2250"/>
            <w:gridCol w:w="241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Integration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Day 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Day 60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Day 100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1. Marketing and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Assessment of customer and product portfolio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Defining market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rPr>
                <w:rFonts w:ascii="Calibri" w:cs="Calibri" w:eastAsia="Calibri" w:hAnsi="Calibri"/>
              </w:rPr>
            </w:pPr>
            <w:r w:rsidDel="00000000" w:rsidR="00000000" w:rsidRPr="00000000">
              <w:rPr>
                <w:rFonts w:ascii="Calibri" w:cs="Calibri" w:eastAsia="Calibri" w:hAnsi="Calibri"/>
                <w:rtl w:val="0"/>
              </w:rPr>
              <w:t xml:space="preserve">Defining product portfolio</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 Operations and Supply Chain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rPr>
                <w:rFonts w:ascii="Calibri" w:cs="Calibri" w:eastAsia="Calibri" w:hAnsi="Calibri"/>
              </w:rPr>
            </w:pPr>
            <w:r w:rsidDel="00000000" w:rsidR="00000000" w:rsidRPr="00000000">
              <w:rPr>
                <w:rFonts w:ascii="Calibri" w:cs="Calibri" w:eastAsia="Calibri" w:hAnsi="Calibri"/>
                <w:rtl w:val="0"/>
              </w:rPr>
              <w:t xml:space="preserve">Defining target operating model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rPr>
                <w:rFonts w:ascii="Calibri" w:cs="Calibri" w:eastAsia="Calibri" w:hAnsi="Calibri"/>
              </w:rPr>
            </w:pPr>
            <w:r w:rsidDel="00000000" w:rsidR="00000000" w:rsidRPr="00000000">
              <w:rPr>
                <w:rFonts w:ascii="Calibri" w:cs="Calibri" w:eastAsia="Calibri" w:hAnsi="Calibri"/>
                <w:rtl w:val="0"/>
              </w:rPr>
              <w:t xml:space="preserve">Assessment of operational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rPr>
                <w:rFonts w:ascii="Calibri" w:cs="Calibri" w:eastAsia="Calibri" w:hAnsi="Calibri"/>
              </w:rPr>
            </w:pPr>
            <w:r w:rsidDel="00000000" w:rsidR="00000000" w:rsidRPr="00000000">
              <w:rPr>
                <w:rFonts w:ascii="Calibri" w:cs="Calibri" w:eastAsia="Calibri" w:hAnsi="Calibri"/>
                <w:rtl w:val="0"/>
              </w:rPr>
              <w:t xml:space="preserve">Defining supply and demand approach</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 Research and 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Finance and Administration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5. Human 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6. Information Technology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7. Legal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8. [INSERT OTHER INTEGRATION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8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rPr>
      </w:pPr>
      <w:bookmarkStart w:colFirst="0" w:colLast="0" w:name="_gjdgxs" w:id="0"/>
      <w:bookmarkEnd w:id="0"/>
      <w:r w:rsidDel="00000000" w:rsidR="00000000" w:rsidRPr="00000000">
        <w:rPr>
          <w:rtl w:val="0"/>
        </w:rPr>
      </w:r>
    </w:p>
    <w:sectPr>
      <w:headerReference r:id="rId7" w:type="default"/>
      <w:head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0</wp:posOffset>
              </wp:positionV>
              <wp:extent cx="8003540" cy="361217"/>
              <wp:effectExtent b="0" l="0" r="0" t="0"/>
              <wp:wrapNone/>
              <wp:docPr id="2" name=""/>
              <a:graphic>
                <a:graphicData uri="http://schemas.microsoft.com/office/word/2010/wordprocessingShape">
                  <wps:wsp>
                    <wps:cNvSpPr/>
                    <wps:cNvPr id="8" name="Shape 8"/>
                    <wps:spPr>
                      <a:xfrm>
                        <a:off x="1348993" y="3604154"/>
                        <a:ext cx="7994015" cy="351692"/>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0</wp:posOffset>
              </wp:positionV>
              <wp:extent cx="8003540" cy="36121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003540" cy="36121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